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9AC927" w14:textId="77777777" w:rsidR="000863DF" w:rsidRPr="00C4710D" w:rsidRDefault="000863DF" w:rsidP="000863DF">
      <w:pPr>
        <w:jc w:val="center"/>
        <w:rPr>
          <w:b/>
          <w:bCs/>
        </w:rPr>
      </w:pPr>
      <w:bookmarkStart w:id="0" w:name="_GoBack"/>
      <w:bookmarkEnd w:id="0"/>
      <w:r w:rsidRPr="00C4710D">
        <w:rPr>
          <w:b/>
          <w:bCs/>
        </w:rPr>
        <w:t>STATE OF GEORGIA</w:t>
      </w:r>
    </w:p>
    <w:p w14:paraId="5B23CCE2" w14:textId="77777777" w:rsidR="000863DF" w:rsidRPr="00C4710D" w:rsidRDefault="000863DF" w:rsidP="000863DF">
      <w:pPr>
        <w:jc w:val="center"/>
        <w:rPr>
          <w:b/>
          <w:bCs/>
        </w:rPr>
      </w:pPr>
    </w:p>
    <w:p w14:paraId="0777F3A4" w14:textId="77777777" w:rsidR="000863DF" w:rsidRPr="00C4710D" w:rsidRDefault="000863DF" w:rsidP="000863DF">
      <w:pPr>
        <w:jc w:val="center"/>
        <w:rPr>
          <w:b/>
          <w:bCs/>
        </w:rPr>
      </w:pPr>
      <w:r w:rsidRPr="00C4710D">
        <w:rPr>
          <w:b/>
          <w:bCs/>
        </w:rPr>
        <w:t>BEFORE THE</w:t>
      </w:r>
    </w:p>
    <w:p w14:paraId="1FCA7F85" w14:textId="77777777" w:rsidR="000863DF" w:rsidRPr="00C4710D" w:rsidRDefault="000863DF" w:rsidP="000863DF">
      <w:pPr>
        <w:jc w:val="center"/>
        <w:rPr>
          <w:b/>
          <w:bCs/>
        </w:rPr>
      </w:pPr>
      <w:r w:rsidRPr="00C4710D">
        <w:rPr>
          <w:b/>
          <w:bCs/>
        </w:rPr>
        <w:t>GEORGIA PUBLIC SERVICE COMMISSION</w:t>
      </w:r>
    </w:p>
    <w:p w14:paraId="368AD9D9" w14:textId="77777777" w:rsidR="000863DF" w:rsidRPr="00C4710D" w:rsidRDefault="000863DF" w:rsidP="000863DF">
      <w:pPr>
        <w:jc w:val="center"/>
        <w:rPr>
          <w:b/>
          <w:bCs/>
        </w:rPr>
      </w:pPr>
    </w:p>
    <w:p w14:paraId="07D42D15" w14:textId="77777777" w:rsidR="000863DF" w:rsidRPr="00C4710D" w:rsidRDefault="000863DF" w:rsidP="000863DF">
      <w:pPr>
        <w:rPr>
          <w:b/>
          <w:bCs/>
        </w:rPr>
      </w:pPr>
    </w:p>
    <w:p w14:paraId="71D22A89" w14:textId="77777777" w:rsidR="000863DF" w:rsidRPr="00C4710D" w:rsidRDefault="000863DF" w:rsidP="000863DF">
      <w:pPr>
        <w:rPr>
          <w:b/>
          <w:bCs/>
        </w:rPr>
      </w:pPr>
      <w:r w:rsidRPr="00C4710D">
        <w:rPr>
          <w:b/>
          <w:bCs/>
        </w:rPr>
        <w:t>In Re:</w:t>
      </w:r>
    </w:p>
    <w:p w14:paraId="26B6B48B" w14:textId="77777777" w:rsidR="000863DF" w:rsidRPr="00C4710D" w:rsidRDefault="000863DF" w:rsidP="000863DF">
      <w:pPr>
        <w:rPr>
          <w:b/>
          <w:bCs/>
        </w:rPr>
      </w:pPr>
      <w:r w:rsidRPr="00C4710D">
        <w:rPr>
          <w:b/>
          <w:bCs/>
        </w:rPr>
        <w:t xml:space="preserve">Capacity and Energy Payments </w:t>
      </w:r>
      <w:r w:rsidRPr="00C4710D">
        <w:rPr>
          <w:b/>
          <w:bCs/>
        </w:rPr>
        <w:tab/>
      </w:r>
      <w:r w:rsidRPr="00C4710D">
        <w:rPr>
          <w:b/>
          <w:bCs/>
        </w:rPr>
        <w:tab/>
        <w:t xml:space="preserve">) </w:t>
      </w:r>
      <w:r w:rsidRPr="00C4710D">
        <w:rPr>
          <w:b/>
          <w:bCs/>
        </w:rPr>
        <w:tab/>
      </w:r>
      <w:r w:rsidRPr="00C4710D">
        <w:rPr>
          <w:b/>
          <w:bCs/>
        </w:rPr>
        <w:tab/>
        <w:t>Docket No. 4822</w:t>
      </w:r>
    </w:p>
    <w:p w14:paraId="4A390C31" w14:textId="77777777" w:rsidR="000863DF" w:rsidRPr="00C4710D" w:rsidRDefault="000863DF" w:rsidP="000863DF">
      <w:pPr>
        <w:rPr>
          <w:b/>
          <w:bCs/>
        </w:rPr>
      </w:pPr>
      <w:r w:rsidRPr="00C4710D">
        <w:rPr>
          <w:b/>
          <w:bCs/>
        </w:rPr>
        <w:t>to Cogenerators under PURPA</w:t>
      </w:r>
      <w:r w:rsidRPr="00C4710D">
        <w:rPr>
          <w:b/>
          <w:bCs/>
        </w:rPr>
        <w:tab/>
      </w:r>
      <w:r w:rsidRPr="00C4710D">
        <w:rPr>
          <w:b/>
          <w:bCs/>
        </w:rPr>
        <w:tab/>
        <w:t>)</w:t>
      </w:r>
    </w:p>
    <w:p w14:paraId="09958986" w14:textId="77777777" w:rsidR="000863DF" w:rsidRPr="00C4710D" w:rsidRDefault="000863DF" w:rsidP="000863DF">
      <w:pPr>
        <w:rPr>
          <w:b/>
          <w:bCs/>
        </w:rPr>
      </w:pPr>
    </w:p>
    <w:p w14:paraId="48C9855D" w14:textId="77777777" w:rsidR="000863DF" w:rsidRPr="00C4710D" w:rsidRDefault="000863DF" w:rsidP="000863DF">
      <w:pPr>
        <w:rPr>
          <w:b/>
          <w:bCs/>
        </w:rPr>
      </w:pPr>
    </w:p>
    <w:p w14:paraId="760E16A6" w14:textId="77777777" w:rsidR="000863DF" w:rsidRPr="00C4710D" w:rsidRDefault="000863DF" w:rsidP="000863DF">
      <w:pPr>
        <w:rPr>
          <w:b/>
          <w:bCs/>
        </w:rPr>
      </w:pPr>
      <w:r w:rsidRPr="00C4710D">
        <w:rPr>
          <w:b/>
          <w:bCs/>
        </w:rPr>
        <w:t xml:space="preserve">Georgia Power Company’s </w:t>
      </w:r>
      <w:r w:rsidRPr="00C4710D">
        <w:rPr>
          <w:b/>
          <w:bCs/>
        </w:rPr>
        <w:tab/>
      </w:r>
      <w:r w:rsidRPr="00C4710D">
        <w:rPr>
          <w:b/>
          <w:bCs/>
        </w:rPr>
        <w:tab/>
      </w:r>
      <w:r w:rsidRPr="00C4710D">
        <w:rPr>
          <w:b/>
          <w:bCs/>
        </w:rPr>
        <w:tab/>
        <w:t>)</w:t>
      </w:r>
      <w:r w:rsidRPr="00C4710D">
        <w:rPr>
          <w:b/>
          <w:bCs/>
        </w:rPr>
        <w:tab/>
      </w:r>
      <w:r w:rsidRPr="00C4710D">
        <w:rPr>
          <w:b/>
          <w:bCs/>
        </w:rPr>
        <w:tab/>
        <w:t>Docket No. 16573</w:t>
      </w:r>
    </w:p>
    <w:p w14:paraId="1587E4A7" w14:textId="77777777" w:rsidR="000863DF" w:rsidRPr="00C4710D" w:rsidRDefault="000863DF" w:rsidP="000863DF">
      <w:pPr>
        <w:rPr>
          <w:b/>
          <w:bCs/>
        </w:rPr>
      </w:pPr>
      <w:r w:rsidRPr="00C4710D">
        <w:rPr>
          <w:b/>
          <w:bCs/>
        </w:rPr>
        <w:t>Green Energy Program</w:t>
      </w:r>
      <w:r w:rsidRPr="00C4710D">
        <w:rPr>
          <w:b/>
          <w:bCs/>
        </w:rPr>
        <w:tab/>
      </w:r>
      <w:r w:rsidRPr="00C4710D">
        <w:rPr>
          <w:b/>
          <w:bCs/>
        </w:rPr>
        <w:tab/>
        <w:t xml:space="preserve"> </w:t>
      </w:r>
      <w:r w:rsidRPr="00C4710D">
        <w:rPr>
          <w:b/>
          <w:bCs/>
        </w:rPr>
        <w:tab/>
        <w:t>)</w:t>
      </w:r>
    </w:p>
    <w:p w14:paraId="195BA85F" w14:textId="77777777" w:rsidR="000863DF" w:rsidRPr="00C4710D" w:rsidRDefault="000863DF" w:rsidP="000863DF">
      <w:pPr>
        <w:rPr>
          <w:b/>
          <w:bCs/>
        </w:rPr>
      </w:pPr>
      <w:r w:rsidRPr="00C4710D">
        <w:rPr>
          <w:b/>
          <w:bCs/>
        </w:rPr>
        <w:tab/>
      </w:r>
      <w:r w:rsidRPr="00C4710D">
        <w:rPr>
          <w:b/>
          <w:bCs/>
        </w:rPr>
        <w:tab/>
      </w:r>
      <w:r w:rsidRPr="00C4710D">
        <w:rPr>
          <w:b/>
          <w:bCs/>
        </w:rPr>
        <w:tab/>
      </w:r>
      <w:r w:rsidRPr="00C4710D">
        <w:rPr>
          <w:b/>
          <w:bCs/>
        </w:rPr>
        <w:tab/>
      </w:r>
      <w:r w:rsidRPr="00C4710D">
        <w:rPr>
          <w:b/>
          <w:bCs/>
        </w:rPr>
        <w:tab/>
      </w:r>
    </w:p>
    <w:p w14:paraId="6C5705D9" w14:textId="77777777" w:rsidR="000863DF" w:rsidRPr="00C4710D" w:rsidRDefault="000863DF" w:rsidP="000863DF">
      <w:pPr>
        <w:rPr>
          <w:b/>
          <w:bCs/>
        </w:rPr>
      </w:pPr>
    </w:p>
    <w:p w14:paraId="61883EA8" w14:textId="77777777" w:rsidR="000863DF" w:rsidRPr="00C4710D" w:rsidRDefault="000863DF" w:rsidP="000863DF">
      <w:pPr>
        <w:rPr>
          <w:b/>
          <w:bCs/>
        </w:rPr>
      </w:pPr>
      <w:r w:rsidRPr="00C4710D">
        <w:rPr>
          <w:b/>
          <w:bCs/>
        </w:rPr>
        <w:t>Biomass Gas &amp; Electric, LLC’s</w:t>
      </w:r>
      <w:r w:rsidRPr="00C4710D">
        <w:rPr>
          <w:b/>
          <w:bCs/>
        </w:rPr>
        <w:tab/>
      </w:r>
      <w:r w:rsidRPr="00C4710D">
        <w:rPr>
          <w:b/>
          <w:bCs/>
        </w:rPr>
        <w:tab/>
        <w:t>)</w:t>
      </w:r>
    </w:p>
    <w:p w14:paraId="42D8915E" w14:textId="77777777" w:rsidR="000863DF" w:rsidRPr="00C4710D" w:rsidRDefault="000863DF" w:rsidP="000863DF">
      <w:pPr>
        <w:rPr>
          <w:b/>
          <w:bCs/>
        </w:rPr>
      </w:pPr>
      <w:r w:rsidRPr="00C4710D">
        <w:rPr>
          <w:b/>
          <w:bCs/>
        </w:rPr>
        <w:t>Petition to Establish Docket</w:t>
      </w:r>
      <w:r w:rsidRPr="00C4710D">
        <w:rPr>
          <w:b/>
          <w:bCs/>
        </w:rPr>
        <w:tab/>
      </w:r>
      <w:r w:rsidRPr="00C4710D">
        <w:rPr>
          <w:b/>
          <w:bCs/>
        </w:rPr>
        <w:tab/>
      </w:r>
      <w:r w:rsidRPr="00C4710D">
        <w:rPr>
          <w:b/>
          <w:bCs/>
        </w:rPr>
        <w:tab/>
        <w:t>)</w:t>
      </w:r>
      <w:r w:rsidRPr="00C4710D">
        <w:rPr>
          <w:b/>
          <w:bCs/>
        </w:rPr>
        <w:tab/>
      </w:r>
      <w:r w:rsidRPr="00C4710D">
        <w:rPr>
          <w:b/>
          <w:bCs/>
        </w:rPr>
        <w:tab/>
        <w:t>Docket No. 19279</w:t>
      </w:r>
    </w:p>
    <w:p w14:paraId="094D90ED" w14:textId="77777777" w:rsidR="000863DF" w:rsidRPr="00C4710D" w:rsidRDefault="000863DF" w:rsidP="000863DF">
      <w:pPr>
        <w:rPr>
          <w:b/>
          <w:bCs/>
        </w:rPr>
      </w:pPr>
      <w:r w:rsidRPr="00C4710D">
        <w:rPr>
          <w:b/>
          <w:bCs/>
        </w:rPr>
        <w:t xml:space="preserve">Regarding Forsyth County </w:t>
      </w:r>
      <w:r w:rsidRPr="00C4710D">
        <w:rPr>
          <w:b/>
          <w:bCs/>
        </w:rPr>
        <w:tab/>
      </w:r>
      <w:r w:rsidRPr="00C4710D">
        <w:rPr>
          <w:b/>
          <w:bCs/>
        </w:rPr>
        <w:tab/>
      </w:r>
      <w:r w:rsidRPr="00C4710D">
        <w:rPr>
          <w:b/>
          <w:bCs/>
        </w:rPr>
        <w:tab/>
        <w:t>)</w:t>
      </w:r>
    </w:p>
    <w:p w14:paraId="7FBD9C66" w14:textId="77777777" w:rsidR="000863DF" w:rsidRPr="00C4710D" w:rsidRDefault="000863DF" w:rsidP="000863DF">
      <w:pPr>
        <w:rPr>
          <w:b/>
          <w:bCs/>
        </w:rPr>
      </w:pPr>
      <w:r w:rsidRPr="00C4710D">
        <w:rPr>
          <w:b/>
          <w:bCs/>
        </w:rPr>
        <w:t>Renewable Energy Plant</w:t>
      </w:r>
      <w:r w:rsidRPr="00C4710D">
        <w:rPr>
          <w:b/>
          <w:bCs/>
        </w:rPr>
        <w:tab/>
      </w:r>
      <w:r w:rsidRPr="00C4710D">
        <w:rPr>
          <w:b/>
          <w:bCs/>
        </w:rPr>
        <w:tab/>
      </w:r>
      <w:r w:rsidRPr="00C4710D">
        <w:rPr>
          <w:b/>
          <w:bCs/>
        </w:rPr>
        <w:tab/>
        <w:t>)</w:t>
      </w:r>
    </w:p>
    <w:p w14:paraId="28260020" w14:textId="77777777" w:rsidR="000863DF" w:rsidRPr="00C4710D" w:rsidRDefault="000863DF" w:rsidP="000863DF">
      <w:pPr>
        <w:rPr>
          <w:b/>
          <w:bCs/>
        </w:rPr>
      </w:pPr>
    </w:p>
    <w:p w14:paraId="54DF83E5" w14:textId="77777777" w:rsidR="000863DF" w:rsidRPr="00C4710D" w:rsidRDefault="000863DF" w:rsidP="000863DF">
      <w:pPr>
        <w:rPr>
          <w:b/>
          <w:bCs/>
        </w:rPr>
      </w:pPr>
    </w:p>
    <w:p w14:paraId="1DD3D1D8" w14:textId="77777777" w:rsidR="000863DF" w:rsidRPr="00C4710D" w:rsidRDefault="000863DF" w:rsidP="000863DF">
      <w:pPr>
        <w:rPr>
          <w:b/>
          <w:bCs/>
        </w:rPr>
      </w:pPr>
    </w:p>
    <w:p w14:paraId="6226034A" w14:textId="263636E2" w:rsidR="000863DF" w:rsidRPr="00C4710D" w:rsidRDefault="005F2E04" w:rsidP="000863DF">
      <w:pPr>
        <w:jc w:val="center"/>
        <w:rPr>
          <w:b/>
          <w:bCs/>
          <w:spacing w:val="-3"/>
        </w:rPr>
      </w:pPr>
      <w:r w:rsidRPr="00C4710D">
        <w:rPr>
          <w:b/>
          <w:bCs/>
          <w:spacing w:val="-3"/>
        </w:rPr>
        <w:t>SUR</w:t>
      </w:r>
      <w:r w:rsidR="000863DF" w:rsidRPr="00C4710D">
        <w:rPr>
          <w:b/>
          <w:bCs/>
          <w:spacing w:val="-3"/>
        </w:rPr>
        <w:t>REBUTTAL TESTIMONY OF</w:t>
      </w:r>
    </w:p>
    <w:p w14:paraId="67591415" w14:textId="77777777" w:rsidR="000863DF" w:rsidRPr="00C4710D" w:rsidRDefault="000863DF" w:rsidP="000863DF">
      <w:pPr>
        <w:jc w:val="center"/>
        <w:rPr>
          <w:b/>
          <w:bCs/>
          <w:spacing w:val="-3"/>
        </w:rPr>
      </w:pPr>
      <w:r w:rsidRPr="00C4710D">
        <w:rPr>
          <w:b/>
          <w:bCs/>
          <w:spacing w:val="-3"/>
        </w:rPr>
        <w:t>JEFFREY R. GRUBB, A. WILSON MALLARD, AND JEFFREY B. WEATHERS</w:t>
      </w:r>
    </w:p>
    <w:p w14:paraId="5F64608A" w14:textId="77777777" w:rsidR="000863DF" w:rsidRPr="00C4710D" w:rsidRDefault="000863DF" w:rsidP="000863DF">
      <w:pPr>
        <w:suppressLineNumbers/>
        <w:tabs>
          <w:tab w:val="center" w:pos="4680"/>
        </w:tabs>
        <w:suppressAutoHyphens/>
        <w:jc w:val="center"/>
        <w:rPr>
          <w:b/>
          <w:spacing w:val="-3"/>
        </w:rPr>
      </w:pPr>
    </w:p>
    <w:p w14:paraId="28D87217" w14:textId="77777777" w:rsidR="000863DF" w:rsidRPr="00C4710D" w:rsidRDefault="000863DF" w:rsidP="000863DF">
      <w:pPr>
        <w:suppressLineNumbers/>
        <w:tabs>
          <w:tab w:val="center" w:pos="4680"/>
        </w:tabs>
        <w:suppressAutoHyphens/>
        <w:jc w:val="center"/>
        <w:rPr>
          <w:b/>
          <w:spacing w:val="-3"/>
        </w:rPr>
      </w:pPr>
    </w:p>
    <w:p w14:paraId="129D9BAC" w14:textId="77777777" w:rsidR="000863DF" w:rsidRPr="00C4710D" w:rsidRDefault="000863DF" w:rsidP="000863DF">
      <w:pPr>
        <w:suppressLineNumbers/>
        <w:tabs>
          <w:tab w:val="center" w:pos="4680"/>
        </w:tabs>
        <w:suppressAutoHyphens/>
        <w:jc w:val="center"/>
        <w:rPr>
          <w:b/>
          <w:spacing w:val="-3"/>
        </w:rPr>
      </w:pPr>
    </w:p>
    <w:p w14:paraId="66562C9B" w14:textId="1FD2C9B7" w:rsidR="00F83DE5" w:rsidRPr="00C4710D" w:rsidRDefault="000863DF" w:rsidP="00F83DE5">
      <w:pPr>
        <w:suppressLineNumbers/>
        <w:tabs>
          <w:tab w:val="center" w:pos="4680"/>
        </w:tabs>
        <w:suppressAutoHyphens/>
        <w:jc w:val="center"/>
        <w:rPr>
          <w:b/>
          <w:spacing w:val="-3"/>
        </w:rPr>
      </w:pPr>
      <w:r w:rsidRPr="00C4710D">
        <w:rPr>
          <w:b/>
          <w:spacing w:val="-3"/>
        </w:rPr>
        <w:t xml:space="preserve">December </w:t>
      </w:r>
      <w:r w:rsidR="005F2E04" w:rsidRPr="00C4710D">
        <w:rPr>
          <w:b/>
          <w:spacing w:val="-3"/>
        </w:rPr>
        <w:t>22</w:t>
      </w:r>
      <w:r w:rsidRPr="00C4710D">
        <w:rPr>
          <w:b/>
          <w:spacing w:val="-3"/>
        </w:rPr>
        <w:t>, 2020</w:t>
      </w:r>
      <w:r w:rsidR="00F83DE5" w:rsidRPr="00C4710D">
        <w:rPr>
          <w:b/>
          <w:spacing w:val="-3"/>
        </w:rPr>
        <w:br w:type="page"/>
      </w:r>
    </w:p>
    <w:p w14:paraId="2C3A5AE5" w14:textId="7A7F7362" w:rsidR="000863DF" w:rsidRPr="00C4710D" w:rsidRDefault="000863DF" w:rsidP="000863DF">
      <w:pPr>
        <w:jc w:val="center"/>
        <w:rPr>
          <w:b/>
          <w:bCs/>
          <w:u w:val="single"/>
        </w:rPr>
      </w:pPr>
      <w:r w:rsidRPr="00C4710D">
        <w:rPr>
          <w:b/>
          <w:bCs/>
          <w:u w:val="single"/>
        </w:rPr>
        <w:lastRenderedPageBreak/>
        <w:t>TABLE OF CONTENTS</w:t>
      </w:r>
    </w:p>
    <w:sdt>
      <w:sdtPr>
        <w:rPr>
          <w:rFonts w:ascii="Times New Roman" w:eastAsia="Times New Roman" w:hAnsi="Times New Roman" w:cs="Times New Roman"/>
          <w:color w:val="auto"/>
          <w:szCs w:val="24"/>
        </w:rPr>
        <w:id w:val="-1344850494"/>
        <w:docPartObj>
          <w:docPartGallery w:val="Table of Contents"/>
          <w:docPartUnique/>
        </w:docPartObj>
      </w:sdtPr>
      <w:sdtEndPr>
        <w:rPr>
          <w:b/>
          <w:bCs/>
          <w:noProof/>
        </w:rPr>
      </w:sdtEndPr>
      <w:sdtContent>
        <w:p w14:paraId="616F64E5" w14:textId="16B79B8C" w:rsidR="00063C96" w:rsidRPr="00C4710D" w:rsidRDefault="00063C96">
          <w:pPr>
            <w:pStyle w:val="TOCHeading"/>
          </w:pPr>
        </w:p>
        <w:p w14:paraId="7A21691B" w14:textId="368B4329" w:rsidR="00A46254" w:rsidRDefault="00063C96">
          <w:pPr>
            <w:pStyle w:val="TOC1"/>
            <w:rPr>
              <w:rFonts w:asciiTheme="minorHAnsi" w:eastAsiaTheme="minorEastAsia" w:hAnsiTheme="minorHAnsi" w:cstheme="minorBidi"/>
              <w:sz w:val="22"/>
              <w:szCs w:val="22"/>
            </w:rPr>
          </w:pPr>
          <w:r w:rsidRPr="00C4710D">
            <w:fldChar w:fldCharType="begin"/>
          </w:r>
          <w:r w:rsidRPr="00C4710D">
            <w:instrText xml:space="preserve"> TOC \o "1-2" \h \z \u </w:instrText>
          </w:r>
          <w:r w:rsidRPr="00C4710D">
            <w:fldChar w:fldCharType="separate"/>
          </w:r>
          <w:hyperlink w:anchor="_Toc59531748" w:history="1">
            <w:r w:rsidR="00A46254" w:rsidRPr="00F8641B">
              <w:rPr>
                <w:rStyle w:val="Hyperlink"/>
              </w:rPr>
              <w:t>I.</w:t>
            </w:r>
            <w:r w:rsidR="00A46254">
              <w:rPr>
                <w:rFonts w:asciiTheme="minorHAnsi" w:eastAsiaTheme="minorEastAsia" w:hAnsiTheme="minorHAnsi" w:cstheme="minorBidi"/>
                <w:sz w:val="22"/>
                <w:szCs w:val="22"/>
              </w:rPr>
              <w:tab/>
            </w:r>
            <w:r w:rsidR="00A46254" w:rsidRPr="00F8641B">
              <w:rPr>
                <w:rStyle w:val="Hyperlink"/>
              </w:rPr>
              <w:t>INTRODUCTION</w:t>
            </w:r>
            <w:r w:rsidR="00A46254">
              <w:rPr>
                <w:webHidden/>
              </w:rPr>
              <w:tab/>
            </w:r>
            <w:r w:rsidR="00A46254">
              <w:rPr>
                <w:webHidden/>
              </w:rPr>
              <w:fldChar w:fldCharType="begin"/>
            </w:r>
            <w:r w:rsidR="00A46254">
              <w:rPr>
                <w:webHidden/>
              </w:rPr>
              <w:instrText xml:space="preserve"> PAGEREF _Toc59531748 \h </w:instrText>
            </w:r>
            <w:r w:rsidR="00A46254">
              <w:rPr>
                <w:webHidden/>
              </w:rPr>
            </w:r>
            <w:r w:rsidR="00A46254">
              <w:rPr>
                <w:webHidden/>
              </w:rPr>
              <w:fldChar w:fldCharType="separate"/>
            </w:r>
            <w:r w:rsidR="00A46254">
              <w:rPr>
                <w:webHidden/>
              </w:rPr>
              <w:t>1</w:t>
            </w:r>
            <w:r w:rsidR="00A46254">
              <w:rPr>
                <w:webHidden/>
              </w:rPr>
              <w:fldChar w:fldCharType="end"/>
            </w:r>
          </w:hyperlink>
        </w:p>
        <w:p w14:paraId="6ECA18E2" w14:textId="07D29B06" w:rsidR="00A46254" w:rsidRDefault="004D0A06">
          <w:pPr>
            <w:pStyle w:val="TOC1"/>
            <w:rPr>
              <w:rFonts w:asciiTheme="minorHAnsi" w:eastAsiaTheme="minorEastAsia" w:hAnsiTheme="minorHAnsi" w:cstheme="minorBidi"/>
              <w:sz w:val="22"/>
              <w:szCs w:val="22"/>
            </w:rPr>
          </w:pPr>
          <w:hyperlink w:anchor="_Toc59531749" w:history="1">
            <w:r w:rsidR="00A46254" w:rsidRPr="00F8641B">
              <w:rPr>
                <w:rStyle w:val="Hyperlink"/>
              </w:rPr>
              <w:t>II.</w:t>
            </w:r>
            <w:r w:rsidR="00A46254">
              <w:rPr>
                <w:rFonts w:asciiTheme="minorHAnsi" w:eastAsiaTheme="minorEastAsia" w:hAnsiTheme="minorHAnsi" w:cstheme="minorBidi"/>
                <w:sz w:val="22"/>
                <w:szCs w:val="22"/>
              </w:rPr>
              <w:tab/>
            </w:r>
            <w:r w:rsidR="00A46254" w:rsidRPr="00F8641B">
              <w:rPr>
                <w:rStyle w:val="Hyperlink"/>
              </w:rPr>
              <w:t>GENERAL CONSIDERATIONS</w:t>
            </w:r>
            <w:r w:rsidR="00A46254">
              <w:rPr>
                <w:webHidden/>
              </w:rPr>
              <w:tab/>
            </w:r>
            <w:r w:rsidR="00A46254">
              <w:rPr>
                <w:webHidden/>
              </w:rPr>
              <w:fldChar w:fldCharType="begin"/>
            </w:r>
            <w:r w:rsidR="00A46254">
              <w:rPr>
                <w:webHidden/>
              </w:rPr>
              <w:instrText xml:space="preserve"> PAGEREF _Toc59531749 \h </w:instrText>
            </w:r>
            <w:r w:rsidR="00A46254">
              <w:rPr>
                <w:webHidden/>
              </w:rPr>
            </w:r>
            <w:r w:rsidR="00A46254">
              <w:rPr>
                <w:webHidden/>
              </w:rPr>
              <w:fldChar w:fldCharType="separate"/>
            </w:r>
            <w:r w:rsidR="00A46254">
              <w:rPr>
                <w:webHidden/>
              </w:rPr>
              <w:t>5</w:t>
            </w:r>
            <w:r w:rsidR="00A46254">
              <w:rPr>
                <w:webHidden/>
              </w:rPr>
              <w:fldChar w:fldCharType="end"/>
            </w:r>
          </w:hyperlink>
        </w:p>
        <w:p w14:paraId="5A297B7A" w14:textId="542169ED" w:rsidR="00A46254" w:rsidRDefault="004D0A06">
          <w:pPr>
            <w:pStyle w:val="TOC2"/>
            <w:rPr>
              <w:rFonts w:asciiTheme="minorHAnsi" w:eastAsiaTheme="minorEastAsia" w:hAnsiTheme="minorHAnsi" w:cstheme="minorBidi"/>
              <w:sz w:val="22"/>
              <w:szCs w:val="22"/>
            </w:rPr>
          </w:pPr>
          <w:hyperlink w:anchor="_Toc59531750"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State of the Renewables Market in Georgia</w:t>
            </w:r>
            <w:r w:rsidR="00A46254">
              <w:rPr>
                <w:webHidden/>
              </w:rPr>
              <w:tab/>
            </w:r>
            <w:r w:rsidR="00A46254">
              <w:rPr>
                <w:webHidden/>
              </w:rPr>
              <w:fldChar w:fldCharType="begin"/>
            </w:r>
            <w:r w:rsidR="00A46254">
              <w:rPr>
                <w:webHidden/>
              </w:rPr>
              <w:instrText xml:space="preserve"> PAGEREF _Toc59531750 \h </w:instrText>
            </w:r>
            <w:r w:rsidR="00A46254">
              <w:rPr>
                <w:webHidden/>
              </w:rPr>
            </w:r>
            <w:r w:rsidR="00A46254">
              <w:rPr>
                <w:webHidden/>
              </w:rPr>
              <w:fldChar w:fldCharType="separate"/>
            </w:r>
            <w:r w:rsidR="00A46254">
              <w:rPr>
                <w:webHidden/>
              </w:rPr>
              <w:t>5</w:t>
            </w:r>
            <w:r w:rsidR="00A46254">
              <w:rPr>
                <w:webHidden/>
              </w:rPr>
              <w:fldChar w:fldCharType="end"/>
            </w:r>
          </w:hyperlink>
        </w:p>
        <w:p w14:paraId="0472EE63" w14:textId="4D5B8D09" w:rsidR="00A46254" w:rsidRDefault="004D0A06">
          <w:pPr>
            <w:pStyle w:val="TOC2"/>
            <w:rPr>
              <w:rFonts w:asciiTheme="minorHAnsi" w:eastAsiaTheme="minorEastAsia" w:hAnsiTheme="minorHAnsi" w:cstheme="minorBidi"/>
              <w:sz w:val="22"/>
              <w:szCs w:val="22"/>
            </w:rPr>
          </w:pPr>
          <w:hyperlink w:anchor="_Toc59531751"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Transparency</w:t>
            </w:r>
            <w:r w:rsidR="00A46254">
              <w:rPr>
                <w:webHidden/>
              </w:rPr>
              <w:tab/>
            </w:r>
            <w:r w:rsidR="00A46254">
              <w:rPr>
                <w:webHidden/>
              </w:rPr>
              <w:fldChar w:fldCharType="begin"/>
            </w:r>
            <w:r w:rsidR="00A46254">
              <w:rPr>
                <w:webHidden/>
              </w:rPr>
              <w:instrText xml:space="preserve"> PAGEREF _Toc59531751 \h </w:instrText>
            </w:r>
            <w:r w:rsidR="00A46254">
              <w:rPr>
                <w:webHidden/>
              </w:rPr>
            </w:r>
            <w:r w:rsidR="00A46254">
              <w:rPr>
                <w:webHidden/>
              </w:rPr>
              <w:fldChar w:fldCharType="separate"/>
            </w:r>
            <w:r w:rsidR="00A46254">
              <w:rPr>
                <w:webHidden/>
              </w:rPr>
              <w:t>7</w:t>
            </w:r>
            <w:r w:rsidR="00A46254">
              <w:rPr>
                <w:webHidden/>
              </w:rPr>
              <w:fldChar w:fldCharType="end"/>
            </w:r>
          </w:hyperlink>
        </w:p>
        <w:p w14:paraId="482FF121" w14:textId="3FAB8C46" w:rsidR="00A46254" w:rsidRDefault="004D0A06">
          <w:pPr>
            <w:pStyle w:val="TOC1"/>
            <w:rPr>
              <w:rFonts w:asciiTheme="minorHAnsi" w:eastAsiaTheme="minorEastAsia" w:hAnsiTheme="minorHAnsi" w:cstheme="minorBidi"/>
              <w:sz w:val="22"/>
              <w:szCs w:val="22"/>
            </w:rPr>
          </w:pPr>
          <w:hyperlink w:anchor="_Toc59531752" w:history="1">
            <w:r w:rsidR="00A46254" w:rsidRPr="00F8641B">
              <w:rPr>
                <w:rStyle w:val="Hyperlink"/>
              </w:rPr>
              <w:t>III.</w:t>
            </w:r>
            <w:r w:rsidR="00A46254">
              <w:rPr>
                <w:rFonts w:asciiTheme="minorHAnsi" w:eastAsiaTheme="minorEastAsia" w:hAnsiTheme="minorHAnsi" w:cstheme="minorBidi"/>
                <w:sz w:val="22"/>
                <w:szCs w:val="22"/>
              </w:rPr>
              <w:tab/>
            </w:r>
            <w:r w:rsidR="00A46254" w:rsidRPr="00F8641B">
              <w:rPr>
                <w:rStyle w:val="Hyperlink"/>
              </w:rPr>
              <w:t>AVOIDED ENERGY COST ISSUES</w:t>
            </w:r>
            <w:r w:rsidR="00A46254">
              <w:rPr>
                <w:webHidden/>
              </w:rPr>
              <w:tab/>
            </w:r>
            <w:r w:rsidR="00A46254">
              <w:rPr>
                <w:webHidden/>
              </w:rPr>
              <w:fldChar w:fldCharType="begin"/>
            </w:r>
            <w:r w:rsidR="00A46254">
              <w:rPr>
                <w:webHidden/>
              </w:rPr>
              <w:instrText xml:space="preserve"> PAGEREF _Toc59531752 \h </w:instrText>
            </w:r>
            <w:r w:rsidR="00A46254">
              <w:rPr>
                <w:webHidden/>
              </w:rPr>
            </w:r>
            <w:r w:rsidR="00A46254">
              <w:rPr>
                <w:webHidden/>
              </w:rPr>
              <w:fldChar w:fldCharType="separate"/>
            </w:r>
            <w:r w:rsidR="00A46254">
              <w:rPr>
                <w:webHidden/>
              </w:rPr>
              <w:t>9</w:t>
            </w:r>
            <w:r w:rsidR="00A46254">
              <w:rPr>
                <w:webHidden/>
              </w:rPr>
              <w:fldChar w:fldCharType="end"/>
            </w:r>
          </w:hyperlink>
        </w:p>
        <w:p w14:paraId="72425C6C" w14:textId="641508B2" w:rsidR="00A46254" w:rsidRDefault="004D0A06">
          <w:pPr>
            <w:pStyle w:val="TOC2"/>
            <w:rPr>
              <w:rFonts w:asciiTheme="minorHAnsi" w:eastAsiaTheme="minorEastAsia" w:hAnsiTheme="minorHAnsi" w:cstheme="minorBidi"/>
              <w:sz w:val="22"/>
              <w:szCs w:val="22"/>
            </w:rPr>
          </w:pPr>
          <w:hyperlink w:anchor="_Toc59531753"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Avoided Energy Cost Formula</w:t>
            </w:r>
            <w:r w:rsidR="00A46254">
              <w:rPr>
                <w:webHidden/>
              </w:rPr>
              <w:tab/>
            </w:r>
            <w:r w:rsidR="00A46254">
              <w:rPr>
                <w:webHidden/>
              </w:rPr>
              <w:fldChar w:fldCharType="begin"/>
            </w:r>
            <w:r w:rsidR="00A46254">
              <w:rPr>
                <w:webHidden/>
              </w:rPr>
              <w:instrText xml:space="preserve"> PAGEREF _Toc59531753 \h </w:instrText>
            </w:r>
            <w:r w:rsidR="00A46254">
              <w:rPr>
                <w:webHidden/>
              </w:rPr>
            </w:r>
            <w:r w:rsidR="00A46254">
              <w:rPr>
                <w:webHidden/>
              </w:rPr>
              <w:fldChar w:fldCharType="separate"/>
            </w:r>
            <w:r w:rsidR="00A46254">
              <w:rPr>
                <w:webHidden/>
              </w:rPr>
              <w:t>9</w:t>
            </w:r>
            <w:r w:rsidR="00A46254">
              <w:rPr>
                <w:webHidden/>
              </w:rPr>
              <w:fldChar w:fldCharType="end"/>
            </w:r>
          </w:hyperlink>
        </w:p>
        <w:p w14:paraId="76E0887A" w14:textId="5B40EFDF" w:rsidR="00A46254" w:rsidRDefault="004D0A06">
          <w:pPr>
            <w:pStyle w:val="TOC2"/>
            <w:rPr>
              <w:rFonts w:asciiTheme="minorHAnsi" w:eastAsiaTheme="minorEastAsia" w:hAnsiTheme="minorHAnsi" w:cstheme="minorBidi"/>
              <w:sz w:val="22"/>
              <w:szCs w:val="22"/>
            </w:rPr>
          </w:pPr>
          <w:hyperlink w:anchor="_Toc59531754"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Fixed Priced Energy Payments</w:t>
            </w:r>
            <w:r w:rsidR="00A46254">
              <w:rPr>
                <w:webHidden/>
              </w:rPr>
              <w:tab/>
            </w:r>
            <w:r w:rsidR="00A46254">
              <w:rPr>
                <w:webHidden/>
              </w:rPr>
              <w:fldChar w:fldCharType="begin"/>
            </w:r>
            <w:r w:rsidR="00A46254">
              <w:rPr>
                <w:webHidden/>
              </w:rPr>
              <w:instrText xml:space="preserve"> PAGEREF _Toc59531754 \h </w:instrText>
            </w:r>
            <w:r w:rsidR="00A46254">
              <w:rPr>
                <w:webHidden/>
              </w:rPr>
            </w:r>
            <w:r w:rsidR="00A46254">
              <w:rPr>
                <w:webHidden/>
              </w:rPr>
              <w:fldChar w:fldCharType="separate"/>
            </w:r>
            <w:r w:rsidR="00A46254">
              <w:rPr>
                <w:webHidden/>
              </w:rPr>
              <w:t>18</w:t>
            </w:r>
            <w:r w:rsidR="00A46254">
              <w:rPr>
                <w:webHidden/>
              </w:rPr>
              <w:fldChar w:fldCharType="end"/>
            </w:r>
          </w:hyperlink>
        </w:p>
        <w:p w14:paraId="1EE0AA3B" w14:textId="1AF469FA" w:rsidR="00A46254" w:rsidRDefault="004D0A06">
          <w:pPr>
            <w:pStyle w:val="TOC1"/>
            <w:rPr>
              <w:rFonts w:asciiTheme="minorHAnsi" w:eastAsiaTheme="minorEastAsia" w:hAnsiTheme="minorHAnsi" w:cstheme="minorBidi"/>
              <w:sz w:val="22"/>
              <w:szCs w:val="22"/>
            </w:rPr>
          </w:pPr>
          <w:hyperlink w:anchor="_Toc59531755" w:history="1">
            <w:r w:rsidR="00A46254" w:rsidRPr="00F8641B">
              <w:rPr>
                <w:rStyle w:val="Hyperlink"/>
              </w:rPr>
              <w:t>IV.</w:t>
            </w:r>
            <w:r w:rsidR="00A46254">
              <w:rPr>
                <w:rFonts w:asciiTheme="minorHAnsi" w:eastAsiaTheme="minorEastAsia" w:hAnsiTheme="minorHAnsi" w:cstheme="minorBidi"/>
                <w:sz w:val="22"/>
                <w:szCs w:val="22"/>
              </w:rPr>
              <w:tab/>
            </w:r>
            <w:r w:rsidR="00A46254" w:rsidRPr="00F8641B">
              <w:rPr>
                <w:rStyle w:val="Hyperlink"/>
              </w:rPr>
              <w:t>AVOIDED CAPACITY ISSUES</w:t>
            </w:r>
            <w:r w:rsidR="00A46254">
              <w:rPr>
                <w:webHidden/>
              </w:rPr>
              <w:tab/>
            </w:r>
            <w:r w:rsidR="00A46254">
              <w:rPr>
                <w:webHidden/>
              </w:rPr>
              <w:fldChar w:fldCharType="begin"/>
            </w:r>
            <w:r w:rsidR="00A46254">
              <w:rPr>
                <w:webHidden/>
              </w:rPr>
              <w:instrText xml:space="preserve"> PAGEREF _Toc59531755 \h </w:instrText>
            </w:r>
            <w:r w:rsidR="00A46254">
              <w:rPr>
                <w:webHidden/>
              </w:rPr>
            </w:r>
            <w:r w:rsidR="00A46254">
              <w:rPr>
                <w:webHidden/>
              </w:rPr>
              <w:fldChar w:fldCharType="separate"/>
            </w:r>
            <w:r w:rsidR="00A46254">
              <w:rPr>
                <w:webHidden/>
              </w:rPr>
              <w:t>21</w:t>
            </w:r>
            <w:r w:rsidR="00A46254">
              <w:rPr>
                <w:webHidden/>
              </w:rPr>
              <w:fldChar w:fldCharType="end"/>
            </w:r>
          </w:hyperlink>
        </w:p>
        <w:p w14:paraId="2BEF614B" w14:textId="299C9D3D" w:rsidR="00A46254" w:rsidRDefault="004D0A06">
          <w:pPr>
            <w:pStyle w:val="TOC2"/>
            <w:rPr>
              <w:rFonts w:asciiTheme="minorHAnsi" w:eastAsiaTheme="minorEastAsia" w:hAnsiTheme="minorHAnsi" w:cstheme="minorBidi"/>
              <w:sz w:val="22"/>
              <w:szCs w:val="22"/>
            </w:rPr>
          </w:pPr>
          <w:hyperlink w:anchor="_Toc59531756"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Capacity Payment Proposals and PURPA Compliance</w:t>
            </w:r>
            <w:r w:rsidR="00A46254">
              <w:rPr>
                <w:webHidden/>
              </w:rPr>
              <w:tab/>
            </w:r>
            <w:r w:rsidR="00A46254">
              <w:rPr>
                <w:webHidden/>
              </w:rPr>
              <w:fldChar w:fldCharType="begin"/>
            </w:r>
            <w:r w:rsidR="00A46254">
              <w:rPr>
                <w:webHidden/>
              </w:rPr>
              <w:instrText xml:space="preserve"> PAGEREF _Toc59531756 \h </w:instrText>
            </w:r>
            <w:r w:rsidR="00A46254">
              <w:rPr>
                <w:webHidden/>
              </w:rPr>
            </w:r>
            <w:r w:rsidR="00A46254">
              <w:rPr>
                <w:webHidden/>
              </w:rPr>
              <w:fldChar w:fldCharType="separate"/>
            </w:r>
            <w:r w:rsidR="00A46254">
              <w:rPr>
                <w:webHidden/>
              </w:rPr>
              <w:t>21</w:t>
            </w:r>
            <w:r w:rsidR="00A46254">
              <w:rPr>
                <w:webHidden/>
              </w:rPr>
              <w:fldChar w:fldCharType="end"/>
            </w:r>
          </w:hyperlink>
        </w:p>
        <w:p w14:paraId="19743524" w14:textId="13511975" w:rsidR="00A46254" w:rsidRDefault="004D0A06">
          <w:pPr>
            <w:pStyle w:val="TOC2"/>
            <w:rPr>
              <w:rFonts w:asciiTheme="minorHAnsi" w:eastAsiaTheme="minorEastAsia" w:hAnsiTheme="minorHAnsi" w:cstheme="minorBidi"/>
              <w:sz w:val="22"/>
              <w:szCs w:val="22"/>
            </w:rPr>
          </w:pPr>
          <w:hyperlink w:anchor="_Toc59531757"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The Commission’s Solicitation Framework</w:t>
            </w:r>
            <w:r w:rsidR="00A46254">
              <w:rPr>
                <w:webHidden/>
              </w:rPr>
              <w:tab/>
            </w:r>
            <w:r w:rsidR="00A46254">
              <w:rPr>
                <w:webHidden/>
              </w:rPr>
              <w:fldChar w:fldCharType="begin"/>
            </w:r>
            <w:r w:rsidR="00A46254">
              <w:rPr>
                <w:webHidden/>
              </w:rPr>
              <w:instrText xml:space="preserve"> PAGEREF _Toc59531757 \h </w:instrText>
            </w:r>
            <w:r w:rsidR="00A46254">
              <w:rPr>
                <w:webHidden/>
              </w:rPr>
            </w:r>
            <w:r w:rsidR="00A46254">
              <w:rPr>
                <w:webHidden/>
              </w:rPr>
              <w:fldChar w:fldCharType="separate"/>
            </w:r>
            <w:r w:rsidR="00A46254">
              <w:rPr>
                <w:webHidden/>
              </w:rPr>
              <w:t>30</w:t>
            </w:r>
            <w:r w:rsidR="00A46254">
              <w:rPr>
                <w:webHidden/>
              </w:rPr>
              <w:fldChar w:fldCharType="end"/>
            </w:r>
          </w:hyperlink>
        </w:p>
        <w:p w14:paraId="1A277714" w14:textId="64D7CECF" w:rsidR="00A46254" w:rsidRDefault="004D0A06">
          <w:pPr>
            <w:pStyle w:val="TOC2"/>
            <w:rPr>
              <w:rFonts w:asciiTheme="minorHAnsi" w:eastAsiaTheme="minorEastAsia" w:hAnsiTheme="minorHAnsi" w:cstheme="minorBidi"/>
              <w:sz w:val="22"/>
              <w:szCs w:val="22"/>
            </w:rPr>
          </w:pPr>
          <w:hyperlink w:anchor="_Toc59531758" w:history="1">
            <w:r w:rsidR="00A46254" w:rsidRPr="00F8641B">
              <w:rPr>
                <w:rStyle w:val="Hyperlink"/>
              </w:rPr>
              <w:t>C.</w:t>
            </w:r>
            <w:r w:rsidR="00A46254">
              <w:rPr>
                <w:rFonts w:asciiTheme="minorHAnsi" w:eastAsiaTheme="minorEastAsia" w:hAnsiTheme="minorHAnsi" w:cstheme="minorBidi"/>
                <w:sz w:val="22"/>
                <w:szCs w:val="22"/>
              </w:rPr>
              <w:tab/>
            </w:r>
            <w:r w:rsidR="00A46254" w:rsidRPr="00F8641B">
              <w:rPr>
                <w:rStyle w:val="Hyperlink"/>
              </w:rPr>
              <w:t>Calculation of New Capacity</w:t>
            </w:r>
            <w:r w:rsidR="00A46254">
              <w:rPr>
                <w:webHidden/>
              </w:rPr>
              <w:tab/>
            </w:r>
            <w:r w:rsidR="00A46254">
              <w:rPr>
                <w:webHidden/>
              </w:rPr>
              <w:fldChar w:fldCharType="begin"/>
            </w:r>
            <w:r w:rsidR="00A46254">
              <w:rPr>
                <w:webHidden/>
              </w:rPr>
              <w:instrText xml:space="preserve"> PAGEREF _Toc59531758 \h </w:instrText>
            </w:r>
            <w:r w:rsidR="00A46254">
              <w:rPr>
                <w:webHidden/>
              </w:rPr>
            </w:r>
            <w:r w:rsidR="00A46254">
              <w:rPr>
                <w:webHidden/>
              </w:rPr>
              <w:fldChar w:fldCharType="separate"/>
            </w:r>
            <w:r w:rsidR="00A46254">
              <w:rPr>
                <w:webHidden/>
              </w:rPr>
              <w:t>33</w:t>
            </w:r>
            <w:r w:rsidR="00A46254">
              <w:rPr>
                <w:webHidden/>
              </w:rPr>
              <w:fldChar w:fldCharType="end"/>
            </w:r>
          </w:hyperlink>
        </w:p>
        <w:p w14:paraId="770FFB4D" w14:textId="479AB4EC" w:rsidR="00A46254" w:rsidRDefault="004D0A06">
          <w:pPr>
            <w:pStyle w:val="TOC1"/>
            <w:rPr>
              <w:rFonts w:asciiTheme="minorHAnsi" w:eastAsiaTheme="minorEastAsia" w:hAnsiTheme="minorHAnsi" w:cstheme="minorBidi"/>
              <w:sz w:val="22"/>
              <w:szCs w:val="22"/>
            </w:rPr>
          </w:pPr>
          <w:hyperlink w:anchor="_Toc59531759" w:history="1">
            <w:r w:rsidR="00A46254" w:rsidRPr="00F8641B">
              <w:rPr>
                <w:rStyle w:val="Hyperlink"/>
              </w:rPr>
              <w:t>V.</w:t>
            </w:r>
            <w:r w:rsidR="00A46254">
              <w:rPr>
                <w:rFonts w:asciiTheme="minorHAnsi" w:eastAsiaTheme="minorEastAsia" w:hAnsiTheme="minorHAnsi" w:cstheme="minorBidi"/>
                <w:sz w:val="22"/>
                <w:szCs w:val="22"/>
              </w:rPr>
              <w:tab/>
            </w:r>
            <w:r w:rsidR="00A46254" w:rsidRPr="00F8641B">
              <w:rPr>
                <w:rStyle w:val="Hyperlink"/>
              </w:rPr>
              <w:t>RCB FRAMEWORK</w:t>
            </w:r>
            <w:r w:rsidR="00A46254">
              <w:rPr>
                <w:webHidden/>
              </w:rPr>
              <w:tab/>
            </w:r>
            <w:r w:rsidR="00A46254">
              <w:rPr>
                <w:webHidden/>
              </w:rPr>
              <w:fldChar w:fldCharType="begin"/>
            </w:r>
            <w:r w:rsidR="00A46254">
              <w:rPr>
                <w:webHidden/>
              </w:rPr>
              <w:instrText xml:space="preserve"> PAGEREF _Toc59531759 \h </w:instrText>
            </w:r>
            <w:r w:rsidR="00A46254">
              <w:rPr>
                <w:webHidden/>
              </w:rPr>
            </w:r>
            <w:r w:rsidR="00A46254">
              <w:rPr>
                <w:webHidden/>
              </w:rPr>
              <w:fldChar w:fldCharType="separate"/>
            </w:r>
            <w:r w:rsidR="00A46254">
              <w:rPr>
                <w:webHidden/>
              </w:rPr>
              <w:t>33</w:t>
            </w:r>
            <w:r w:rsidR="00A46254">
              <w:rPr>
                <w:webHidden/>
              </w:rPr>
              <w:fldChar w:fldCharType="end"/>
            </w:r>
          </w:hyperlink>
        </w:p>
        <w:p w14:paraId="3B28AC4A" w14:textId="56F3D0C4" w:rsidR="00A46254" w:rsidRDefault="004D0A06">
          <w:pPr>
            <w:pStyle w:val="TOC2"/>
            <w:rPr>
              <w:rFonts w:asciiTheme="minorHAnsi" w:eastAsiaTheme="minorEastAsia" w:hAnsiTheme="minorHAnsi" w:cstheme="minorBidi"/>
              <w:sz w:val="22"/>
              <w:szCs w:val="22"/>
            </w:rPr>
          </w:pPr>
          <w:hyperlink w:anchor="_Toc59531760"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Generally</w:t>
            </w:r>
            <w:r w:rsidR="00A46254">
              <w:rPr>
                <w:webHidden/>
              </w:rPr>
              <w:tab/>
            </w:r>
            <w:r w:rsidR="00A46254">
              <w:rPr>
                <w:webHidden/>
              </w:rPr>
              <w:fldChar w:fldCharType="begin"/>
            </w:r>
            <w:r w:rsidR="00A46254">
              <w:rPr>
                <w:webHidden/>
              </w:rPr>
              <w:instrText xml:space="preserve"> PAGEREF _Toc59531760 \h </w:instrText>
            </w:r>
            <w:r w:rsidR="00A46254">
              <w:rPr>
                <w:webHidden/>
              </w:rPr>
            </w:r>
            <w:r w:rsidR="00A46254">
              <w:rPr>
                <w:webHidden/>
              </w:rPr>
              <w:fldChar w:fldCharType="separate"/>
            </w:r>
            <w:r w:rsidR="00A46254">
              <w:rPr>
                <w:webHidden/>
              </w:rPr>
              <w:t>33</w:t>
            </w:r>
            <w:r w:rsidR="00A46254">
              <w:rPr>
                <w:webHidden/>
              </w:rPr>
              <w:fldChar w:fldCharType="end"/>
            </w:r>
          </w:hyperlink>
        </w:p>
        <w:p w14:paraId="22665B57" w14:textId="20DDD933" w:rsidR="00A46254" w:rsidRDefault="004D0A06">
          <w:pPr>
            <w:pStyle w:val="TOC2"/>
            <w:rPr>
              <w:rFonts w:asciiTheme="minorHAnsi" w:eastAsiaTheme="minorEastAsia" w:hAnsiTheme="minorHAnsi" w:cstheme="minorBidi"/>
              <w:sz w:val="22"/>
              <w:szCs w:val="22"/>
            </w:rPr>
          </w:pPr>
          <w:hyperlink w:anchor="_Toc59531761"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Distinguishing the RCB Framework Avoided Energy Cost Component From PURPA Avoided Energy Costs in Docket No. 4822</w:t>
            </w:r>
            <w:r w:rsidR="00A46254">
              <w:rPr>
                <w:webHidden/>
              </w:rPr>
              <w:tab/>
            </w:r>
            <w:r w:rsidR="00A46254">
              <w:rPr>
                <w:webHidden/>
              </w:rPr>
              <w:fldChar w:fldCharType="begin"/>
            </w:r>
            <w:r w:rsidR="00A46254">
              <w:rPr>
                <w:webHidden/>
              </w:rPr>
              <w:instrText xml:space="preserve"> PAGEREF _Toc59531761 \h </w:instrText>
            </w:r>
            <w:r w:rsidR="00A46254">
              <w:rPr>
                <w:webHidden/>
              </w:rPr>
            </w:r>
            <w:r w:rsidR="00A46254">
              <w:rPr>
                <w:webHidden/>
              </w:rPr>
              <w:fldChar w:fldCharType="separate"/>
            </w:r>
            <w:r w:rsidR="00A46254">
              <w:rPr>
                <w:webHidden/>
              </w:rPr>
              <w:t>35</w:t>
            </w:r>
            <w:r w:rsidR="00A46254">
              <w:rPr>
                <w:webHidden/>
              </w:rPr>
              <w:fldChar w:fldCharType="end"/>
            </w:r>
          </w:hyperlink>
        </w:p>
        <w:p w14:paraId="4BCAE4E2" w14:textId="2A7543D5" w:rsidR="00A46254" w:rsidRDefault="004D0A06">
          <w:pPr>
            <w:pStyle w:val="TOC2"/>
            <w:rPr>
              <w:rFonts w:asciiTheme="minorHAnsi" w:eastAsiaTheme="minorEastAsia" w:hAnsiTheme="minorHAnsi" w:cstheme="minorBidi"/>
              <w:sz w:val="22"/>
              <w:szCs w:val="22"/>
            </w:rPr>
          </w:pPr>
          <w:hyperlink w:anchor="_Toc59531762" w:history="1">
            <w:r w:rsidR="00A46254" w:rsidRPr="00F8641B">
              <w:rPr>
                <w:rStyle w:val="Hyperlink"/>
              </w:rPr>
              <w:t>C.</w:t>
            </w:r>
            <w:r w:rsidR="00A46254">
              <w:rPr>
                <w:rFonts w:asciiTheme="minorHAnsi" w:eastAsiaTheme="minorEastAsia" w:hAnsiTheme="minorHAnsi" w:cstheme="minorBidi"/>
                <w:sz w:val="22"/>
                <w:szCs w:val="22"/>
              </w:rPr>
              <w:tab/>
            </w:r>
            <w:r w:rsidR="00A46254" w:rsidRPr="00F8641B">
              <w:rPr>
                <w:rStyle w:val="Hyperlink"/>
              </w:rPr>
              <w:t>Support Capacity Production Cost Component</w:t>
            </w:r>
            <w:r w:rsidR="00A46254">
              <w:rPr>
                <w:webHidden/>
              </w:rPr>
              <w:tab/>
            </w:r>
            <w:r w:rsidR="00A46254">
              <w:rPr>
                <w:webHidden/>
              </w:rPr>
              <w:fldChar w:fldCharType="begin"/>
            </w:r>
            <w:r w:rsidR="00A46254">
              <w:rPr>
                <w:webHidden/>
              </w:rPr>
              <w:instrText xml:space="preserve"> PAGEREF _Toc59531762 \h </w:instrText>
            </w:r>
            <w:r w:rsidR="00A46254">
              <w:rPr>
                <w:webHidden/>
              </w:rPr>
            </w:r>
            <w:r w:rsidR="00A46254">
              <w:rPr>
                <w:webHidden/>
              </w:rPr>
              <w:fldChar w:fldCharType="separate"/>
            </w:r>
            <w:r w:rsidR="00A46254">
              <w:rPr>
                <w:webHidden/>
              </w:rPr>
              <w:t>36</w:t>
            </w:r>
            <w:r w:rsidR="00A46254">
              <w:rPr>
                <w:webHidden/>
              </w:rPr>
              <w:fldChar w:fldCharType="end"/>
            </w:r>
          </w:hyperlink>
        </w:p>
        <w:p w14:paraId="41BB887E" w14:textId="4E5AD1CA" w:rsidR="00A46254" w:rsidRDefault="004D0A06">
          <w:pPr>
            <w:pStyle w:val="TOC1"/>
            <w:rPr>
              <w:rFonts w:asciiTheme="minorHAnsi" w:eastAsiaTheme="minorEastAsia" w:hAnsiTheme="minorHAnsi" w:cstheme="minorBidi"/>
              <w:sz w:val="22"/>
              <w:szCs w:val="22"/>
            </w:rPr>
          </w:pPr>
          <w:hyperlink w:anchor="_Toc59531763" w:history="1">
            <w:r w:rsidR="00A46254" w:rsidRPr="00F8641B">
              <w:rPr>
                <w:rStyle w:val="Hyperlink"/>
              </w:rPr>
              <w:t>VI.</w:t>
            </w:r>
            <w:r w:rsidR="00A46254">
              <w:rPr>
                <w:rFonts w:asciiTheme="minorHAnsi" w:eastAsiaTheme="minorEastAsia" w:hAnsiTheme="minorHAnsi" w:cstheme="minorBidi"/>
                <w:sz w:val="22"/>
                <w:szCs w:val="22"/>
              </w:rPr>
              <w:tab/>
            </w:r>
            <w:r w:rsidR="00A46254" w:rsidRPr="00F8641B">
              <w:rPr>
                <w:rStyle w:val="Hyperlink"/>
              </w:rPr>
              <w:t>STANDARD OFFER CONTRACTS</w:t>
            </w:r>
            <w:r w:rsidR="00A46254">
              <w:rPr>
                <w:webHidden/>
              </w:rPr>
              <w:tab/>
            </w:r>
            <w:r w:rsidR="00A46254">
              <w:rPr>
                <w:webHidden/>
              </w:rPr>
              <w:fldChar w:fldCharType="begin"/>
            </w:r>
            <w:r w:rsidR="00A46254">
              <w:rPr>
                <w:webHidden/>
              </w:rPr>
              <w:instrText xml:space="preserve"> PAGEREF _Toc59531763 \h </w:instrText>
            </w:r>
            <w:r w:rsidR="00A46254">
              <w:rPr>
                <w:webHidden/>
              </w:rPr>
            </w:r>
            <w:r w:rsidR="00A46254">
              <w:rPr>
                <w:webHidden/>
              </w:rPr>
              <w:fldChar w:fldCharType="separate"/>
            </w:r>
            <w:r w:rsidR="00A46254">
              <w:rPr>
                <w:webHidden/>
              </w:rPr>
              <w:t>39</w:t>
            </w:r>
            <w:r w:rsidR="00A46254">
              <w:rPr>
                <w:webHidden/>
              </w:rPr>
              <w:fldChar w:fldCharType="end"/>
            </w:r>
          </w:hyperlink>
        </w:p>
        <w:p w14:paraId="5270342C" w14:textId="64FDEFEF" w:rsidR="00A46254" w:rsidRDefault="004D0A06">
          <w:pPr>
            <w:pStyle w:val="TOC2"/>
            <w:rPr>
              <w:rFonts w:asciiTheme="minorHAnsi" w:eastAsiaTheme="minorEastAsia" w:hAnsiTheme="minorHAnsi" w:cstheme="minorBidi"/>
              <w:sz w:val="22"/>
              <w:szCs w:val="22"/>
            </w:rPr>
          </w:pPr>
          <w:hyperlink w:anchor="_Toc59531764"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Responding to Concerns about and Proposed Modifications to Georgia Power’s PPAs and Interconnection Process</w:t>
            </w:r>
            <w:r w:rsidR="00A46254">
              <w:rPr>
                <w:webHidden/>
              </w:rPr>
              <w:tab/>
            </w:r>
            <w:r w:rsidR="00A46254">
              <w:rPr>
                <w:webHidden/>
              </w:rPr>
              <w:fldChar w:fldCharType="begin"/>
            </w:r>
            <w:r w:rsidR="00A46254">
              <w:rPr>
                <w:webHidden/>
              </w:rPr>
              <w:instrText xml:space="preserve"> PAGEREF _Toc59531764 \h </w:instrText>
            </w:r>
            <w:r w:rsidR="00A46254">
              <w:rPr>
                <w:webHidden/>
              </w:rPr>
            </w:r>
            <w:r w:rsidR="00A46254">
              <w:rPr>
                <w:webHidden/>
              </w:rPr>
              <w:fldChar w:fldCharType="separate"/>
            </w:r>
            <w:r w:rsidR="00A46254">
              <w:rPr>
                <w:webHidden/>
              </w:rPr>
              <w:t>39</w:t>
            </w:r>
            <w:r w:rsidR="00A46254">
              <w:rPr>
                <w:webHidden/>
              </w:rPr>
              <w:fldChar w:fldCharType="end"/>
            </w:r>
          </w:hyperlink>
        </w:p>
        <w:p w14:paraId="358E5320" w14:textId="1F471517" w:rsidR="00A46254" w:rsidRDefault="004D0A06">
          <w:pPr>
            <w:pStyle w:val="TOC2"/>
            <w:rPr>
              <w:rFonts w:asciiTheme="minorHAnsi" w:eastAsiaTheme="minorEastAsia" w:hAnsiTheme="minorHAnsi" w:cstheme="minorBidi"/>
              <w:sz w:val="22"/>
              <w:szCs w:val="22"/>
            </w:rPr>
          </w:pPr>
          <w:hyperlink w:anchor="_Toc59531765"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Response to Proposed Contract Revisions from GLSAA</w:t>
            </w:r>
            <w:r w:rsidR="00A46254">
              <w:rPr>
                <w:webHidden/>
              </w:rPr>
              <w:tab/>
            </w:r>
            <w:r w:rsidR="00A46254">
              <w:rPr>
                <w:webHidden/>
              </w:rPr>
              <w:fldChar w:fldCharType="begin"/>
            </w:r>
            <w:r w:rsidR="00A46254">
              <w:rPr>
                <w:webHidden/>
              </w:rPr>
              <w:instrText xml:space="preserve"> PAGEREF _Toc59531765 \h </w:instrText>
            </w:r>
            <w:r w:rsidR="00A46254">
              <w:rPr>
                <w:webHidden/>
              </w:rPr>
            </w:r>
            <w:r w:rsidR="00A46254">
              <w:rPr>
                <w:webHidden/>
              </w:rPr>
              <w:fldChar w:fldCharType="separate"/>
            </w:r>
            <w:r w:rsidR="00A46254">
              <w:rPr>
                <w:webHidden/>
              </w:rPr>
              <w:t>51</w:t>
            </w:r>
            <w:r w:rsidR="00A46254">
              <w:rPr>
                <w:webHidden/>
              </w:rPr>
              <w:fldChar w:fldCharType="end"/>
            </w:r>
          </w:hyperlink>
        </w:p>
        <w:p w14:paraId="3017D5FB" w14:textId="60FC1943" w:rsidR="00A46254" w:rsidRDefault="004D0A06">
          <w:pPr>
            <w:pStyle w:val="TOC1"/>
            <w:rPr>
              <w:rFonts w:asciiTheme="minorHAnsi" w:eastAsiaTheme="minorEastAsia" w:hAnsiTheme="minorHAnsi" w:cstheme="minorBidi"/>
              <w:sz w:val="22"/>
              <w:szCs w:val="22"/>
            </w:rPr>
          </w:pPr>
          <w:hyperlink w:anchor="_Toc59531766" w:history="1">
            <w:r w:rsidR="00A46254" w:rsidRPr="00F8641B">
              <w:rPr>
                <w:rStyle w:val="Hyperlink"/>
              </w:rPr>
              <w:t>VII.</w:t>
            </w:r>
            <w:r w:rsidR="00A46254">
              <w:rPr>
                <w:rFonts w:asciiTheme="minorHAnsi" w:eastAsiaTheme="minorEastAsia" w:hAnsiTheme="minorHAnsi" w:cstheme="minorBidi"/>
                <w:sz w:val="22"/>
                <w:szCs w:val="22"/>
              </w:rPr>
              <w:tab/>
            </w:r>
            <w:r w:rsidR="00A46254" w:rsidRPr="00F8641B">
              <w:rPr>
                <w:rStyle w:val="Hyperlink"/>
              </w:rPr>
              <w:t>OTHER CONSIDERATIONS</w:t>
            </w:r>
            <w:r w:rsidR="00A46254">
              <w:rPr>
                <w:webHidden/>
              </w:rPr>
              <w:tab/>
            </w:r>
            <w:r w:rsidR="00A46254">
              <w:rPr>
                <w:webHidden/>
              </w:rPr>
              <w:fldChar w:fldCharType="begin"/>
            </w:r>
            <w:r w:rsidR="00A46254">
              <w:rPr>
                <w:webHidden/>
              </w:rPr>
              <w:instrText xml:space="preserve"> PAGEREF _Toc59531766 \h </w:instrText>
            </w:r>
            <w:r w:rsidR="00A46254">
              <w:rPr>
                <w:webHidden/>
              </w:rPr>
            </w:r>
            <w:r w:rsidR="00A46254">
              <w:rPr>
                <w:webHidden/>
              </w:rPr>
              <w:fldChar w:fldCharType="separate"/>
            </w:r>
            <w:r w:rsidR="00A46254">
              <w:rPr>
                <w:webHidden/>
              </w:rPr>
              <w:t>54</w:t>
            </w:r>
            <w:r w:rsidR="00A46254">
              <w:rPr>
                <w:webHidden/>
              </w:rPr>
              <w:fldChar w:fldCharType="end"/>
            </w:r>
          </w:hyperlink>
        </w:p>
        <w:p w14:paraId="1D78D27B" w14:textId="003A9104" w:rsidR="00A46254" w:rsidRDefault="004D0A06">
          <w:pPr>
            <w:pStyle w:val="TOC2"/>
            <w:rPr>
              <w:rFonts w:asciiTheme="minorHAnsi" w:eastAsiaTheme="minorEastAsia" w:hAnsiTheme="minorHAnsi" w:cstheme="minorBidi"/>
              <w:sz w:val="22"/>
              <w:szCs w:val="22"/>
            </w:rPr>
          </w:pPr>
          <w:hyperlink w:anchor="_Toc59531767" w:history="1">
            <w:r w:rsidR="00A46254" w:rsidRPr="00F8641B">
              <w:rPr>
                <w:rStyle w:val="Hyperlink"/>
              </w:rPr>
              <w:t>A.</w:t>
            </w:r>
            <w:r w:rsidR="00A46254">
              <w:rPr>
                <w:rFonts w:asciiTheme="minorHAnsi" w:eastAsiaTheme="minorEastAsia" w:hAnsiTheme="minorHAnsi" w:cstheme="minorBidi"/>
                <w:sz w:val="22"/>
                <w:szCs w:val="22"/>
              </w:rPr>
              <w:tab/>
            </w:r>
            <w:r w:rsidR="00A46254" w:rsidRPr="00F8641B">
              <w:rPr>
                <w:rStyle w:val="Hyperlink"/>
              </w:rPr>
              <w:t>Concerns Raised by Heelstone</w:t>
            </w:r>
            <w:r w:rsidR="00A46254">
              <w:rPr>
                <w:webHidden/>
              </w:rPr>
              <w:tab/>
            </w:r>
            <w:r w:rsidR="00A46254">
              <w:rPr>
                <w:webHidden/>
              </w:rPr>
              <w:fldChar w:fldCharType="begin"/>
            </w:r>
            <w:r w:rsidR="00A46254">
              <w:rPr>
                <w:webHidden/>
              </w:rPr>
              <w:instrText xml:space="preserve"> PAGEREF _Toc59531767 \h </w:instrText>
            </w:r>
            <w:r w:rsidR="00A46254">
              <w:rPr>
                <w:webHidden/>
              </w:rPr>
            </w:r>
            <w:r w:rsidR="00A46254">
              <w:rPr>
                <w:webHidden/>
              </w:rPr>
              <w:fldChar w:fldCharType="separate"/>
            </w:r>
            <w:r w:rsidR="00A46254">
              <w:rPr>
                <w:webHidden/>
              </w:rPr>
              <w:t>54</w:t>
            </w:r>
            <w:r w:rsidR="00A46254">
              <w:rPr>
                <w:webHidden/>
              </w:rPr>
              <w:fldChar w:fldCharType="end"/>
            </w:r>
          </w:hyperlink>
        </w:p>
        <w:p w14:paraId="3F2F796C" w14:textId="1F8B1ABF" w:rsidR="00A46254" w:rsidRDefault="004D0A06">
          <w:pPr>
            <w:pStyle w:val="TOC2"/>
            <w:rPr>
              <w:rFonts w:asciiTheme="minorHAnsi" w:eastAsiaTheme="minorEastAsia" w:hAnsiTheme="minorHAnsi" w:cstheme="minorBidi"/>
              <w:sz w:val="22"/>
              <w:szCs w:val="22"/>
            </w:rPr>
          </w:pPr>
          <w:hyperlink w:anchor="_Toc59531768" w:history="1">
            <w:r w:rsidR="00A46254" w:rsidRPr="00F8641B">
              <w:rPr>
                <w:rStyle w:val="Hyperlink"/>
              </w:rPr>
              <w:t>B.</w:t>
            </w:r>
            <w:r w:rsidR="00A46254">
              <w:rPr>
                <w:rFonts w:asciiTheme="minorHAnsi" w:eastAsiaTheme="minorEastAsia" w:hAnsiTheme="minorHAnsi" w:cstheme="minorBidi"/>
                <w:sz w:val="22"/>
                <w:szCs w:val="22"/>
              </w:rPr>
              <w:tab/>
            </w:r>
            <w:r w:rsidR="00A46254" w:rsidRPr="00F8641B">
              <w:rPr>
                <w:rStyle w:val="Hyperlink"/>
              </w:rPr>
              <w:t>SEEM</w:t>
            </w:r>
            <w:r w:rsidR="00A46254">
              <w:rPr>
                <w:webHidden/>
              </w:rPr>
              <w:tab/>
            </w:r>
            <w:r w:rsidR="00A46254">
              <w:rPr>
                <w:webHidden/>
              </w:rPr>
              <w:fldChar w:fldCharType="begin"/>
            </w:r>
            <w:r w:rsidR="00A46254">
              <w:rPr>
                <w:webHidden/>
              </w:rPr>
              <w:instrText xml:space="preserve"> PAGEREF _Toc59531768 \h </w:instrText>
            </w:r>
            <w:r w:rsidR="00A46254">
              <w:rPr>
                <w:webHidden/>
              </w:rPr>
            </w:r>
            <w:r w:rsidR="00A46254">
              <w:rPr>
                <w:webHidden/>
              </w:rPr>
              <w:fldChar w:fldCharType="separate"/>
            </w:r>
            <w:r w:rsidR="00A46254">
              <w:rPr>
                <w:webHidden/>
              </w:rPr>
              <w:t>63</w:t>
            </w:r>
            <w:r w:rsidR="00A46254">
              <w:rPr>
                <w:webHidden/>
              </w:rPr>
              <w:fldChar w:fldCharType="end"/>
            </w:r>
          </w:hyperlink>
        </w:p>
        <w:p w14:paraId="1B51FBAE" w14:textId="09FF81CC" w:rsidR="00A46254" w:rsidRDefault="004D0A06">
          <w:pPr>
            <w:pStyle w:val="TOC1"/>
            <w:rPr>
              <w:rFonts w:asciiTheme="minorHAnsi" w:eastAsiaTheme="minorEastAsia" w:hAnsiTheme="minorHAnsi" w:cstheme="minorBidi"/>
              <w:sz w:val="22"/>
              <w:szCs w:val="22"/>
            </w:rPr>
          </w:pPr>
          <w:hyperlink w:anchor="_Toc59531769" w:history="1">
            <w:r w:rsidR="00A46254" w:rsidRPr="00F8641B">
              <w:rPr>
                <w:rStyle w:val="Hyperlink"/>
              </w:rPr>
              <w:t>VIII.</w:t>
            </w:r>
            <w:r w:rsidR="00A46254">
              <w:rPr>
                <w:rFonts w:asciiTheme="minorHAnsi" w:eastAsiaTheme="minorEastAsia" w:hAnsiTheme="minorHAnsi" w:cstheme="minorBidi"/>
                <w:sz w:val="22"/>
                <w:szCs w:val="22"/>
              </w:rPr>
              <w:tab/>
            </w:r>
            <w:r w:rsidR="00A46254" w:rsidRPr="00F8641B">
              <w:rPr>
                <w:rStyle w:val="Hyperlink"/>
              </w:rPr>
              <w:t>CONCLUSION</w:t>
            </w:r>
            <w:r w:rsidR="00A46254">
              <w:rPr>
                <w:webHidden/>
              </w:rPr>
              <w:tab/>
            </w:r>
            <w:r w:rsidR="00A46254">
              <w:rPr>
                <w:webHidden/>
              </w:rPr>
              <w:fldChar w:fldCharType="begin"/>
            </w:r>
            <w:r w:rsidR="00A46254">
              <w:rPr>
                <w:webHidden/>
              </w:rPr>
              <w:instrText xml:space="preserve"> PAGEREF _Toc59531769 \h </w:instrText>
            </w:r>
            <w:r w:rsidR="00A46254">
              <w:rPr>
                <w:webHidden/>
              </w:rPr>
            </w:r>
            <w:r w:rsidR="00A46254">
              <w:rPr>
                <w:webHidden/>
              </w:rPr>
              <w:fldChar w:fldCharType="separate"/>
            </w:r>
            <w:r w:rsidR="00A46254">
              <w:rPr>
                <w:webHidden/>
              </w:rPr>
              <w:t>63</w:t>
            </w:r>
            <w:r w:rsidR="00A46254">
              <w:rPr>
                <w:webHidden/>
              </w:rPr>
              <w:fldChar w:fldCharType="end"/>
            </w:r>
          </w:hyperlink>
        </w:p>
        <w:p w14:paraId="789FD1D2" w14:textId="3330F4B7" w:rsidR="000863DF" w:rsidRPr="00C4710D" w:rsidRDefault="00063C96" w:rsidP="00EA1185">
          <w:pPr>
            <w:sectPr w:rsidR="000863DF" w:rsidRPr="00C4710D" w:rsidSect="00904756">
              <w:footerReference w:type="default" r:id="rId11"/>
              <w:pgSz w:w="12240" w:h="15840" w:code="1"/>
              <w:pgMar w:top="1440" w:right="1800" w:bottom="1440" w:left="1800" w:header="720" w:footer="720" w:gutter="0"/>
              <w:lnNumType w:countBy="1"/>
              <w:pgNumType w:start="1"/>
              <w:cols w:space="720"/>
              <w:docGrid w:linePitch="360"/>
            </w:sectPr>
          </w:pPr>
          <w:r w:rsidRPr="00C4710D">
            <w:rPr>
              <w:noProof/>
            </w:rPr>
            <w:fldChar w:fldCharType="end"/>
          </w:r>
        </w:p>
      </w:sdtContent>
    </w:sdt>
    <w:p w14:paraId="346C9547" w14:textId="7E301730" w:rsidR="000863DF" w:rsidRPr="00C4710D" w:rsidRDefault="008A3B9D" w:rsidP="000863DF">
      <w:pPr>
        <w:jc w:val="center"/>
        <w:rPr>
          <w:b/>
          <w:bCs/>
        </w:rPr>
      </w:pPr>
      <w:r w:rsidRPr="00C4710D">
        <w:rPr>
          <w:b/>
          <w:bCs/>
        </w:rPr>
        <w:t>SUR</w:t>
      </w:r>
      <w:r w:rsidR="000863DF" w:rsidRPr="00C4710D">
        <w:rPr>
          <w:b/>
          <w:bCs/>
        </w:rPr>
        <w:t>REBUTTAL TESTIMONY OF</w:t>
      </w:r>
    </w:p>
    <w:p w14:paraId="44A7A6A6" w14:textId="77777777" w:rsidR="000863DF" w:rsidRPr="00C4710D" w:rsidRDefault="000863DF" w:rsidP="000863DF">
      <w:pPr>
        <w:jc w:val="center"/>
        <w:rPr>
          <w:b/>
          <w:bCs/>
        </w:rPr>
      </w:pPr>
      <w:r w:rsidRPr="00C4710D">
        <w:rPr>
          <w:b/>
          <w:bCs/>
        </w:rPr>
        <w:t>JEFFREY R. GRUBB, A. WILSON MALLARD, AND JEFFREY B. WEATHERS</w:t>
      </w:r>
    </w:p>
    <w:p w14:paraId="6EB110AF" w14:textId="77777777" w:rsidR="000863DF" w:rsidRPr="00C4710D" w:rsidRDefault="000863DF" w:rsidP="000863DF">
      <w:pPr>
        <w:jc w:val="center"/>
        <w:rPr>
          <w:b/>
          <w:bCs/>
        </w:rPr>
      </w:pPr>
    </w:p>
    <w:p w14:paraId="19D9F65F" w14:textId="77777777" w:rsidR="000863DF" w:rsidRPr="00C4710D" w:rsidRDefault="000863DF" w:rsidP="000863DF">
      <w:pPr>
        <w:jc w:val="center"/>
        <w:rPr>
          <w:b/>
          <w:bCs/>
        </w:rPr>
      </w:pPr>
      <w:r w:rsidRPr="00C4710D">
        <w:rPr>
          <w:b/>
          <w:bCs/>
        </w:rPr>
        <w:t>IN SUPPORT OF GEORGIA POWER COMPANY’S AVOIDED COST METHODOLOGIES AND PROPOSED UPDATES TO ITS AVOIDED COST APPLICATIONS IN DOCKET NOS. 4822, 16573, AND 19279.</w:t>
      </w:r>
    </w:p>
    <w:p w14:paraId="59CD6A75" w14:textId="77777777" w:rsidR="000863DF" w:rsidRPr="00C4710D" w:rsidRDefault="000863DF" w:rsidP="000863DF"/>
    <w:p w14:paraId="387A0370" w14:textId="77777777" w:rsidR="000863DF" w:rsidRPr="00C4710D" w:rsidRDefault="000863DF" w:rsidP="000863DF">
      <w:pPr>
        <w:pStyle w:val="Heading1"/>
        <w:jc w:val="center"/>
        <w:rPr>
          <w:rFonts w:cs="Times New Roman"/>
          <w:szCs w:val="24"/>
          <w:u w:val="single"/>
        </w:rPr>
      </w:pPr>
      <w:bookmarkStart w:id="1" w:name="_Toc51316414"/>
      <w:bookmarkStart w:id="2" w:name="_Toc57770861"/>
      <w:bookmarkStart w:id="3" w:name="_Toc57976105"/>
      <w:bookmarkStart w:id="4" w:name="_Toc58467583"/>
      <w:bookmarkStart w:id="5" w:name="_Toc59531748"/>
      <w:bookmarkStart w:id="6" w:name="_Toc51316415"/>
      <w:r w:rsidRPr="00C4710D">
        <w:rPr>
          <w:rFonts w:cs="Times New Roman"/>
          <w:szCs w:val="24"/>
          <w:u w:val="single"/>
        </w:rPr>
        <w:t>INTRODUCTION</w:t>
      </w:r>
      <w:bookmarkEnd w:id="1"/>
      <w:bookmarkEnd w:id="2"/>
      <w:bookmarkEnd w:id="3"/>
      <w:bookmarkEnd w:id="4"/>
      <w:bookmarkEnd w:id="5"/>
    </w:p>
    <w:p w14:paraId="47C5DFA8" w14:textId="77777777" w:rsidR="008B4CD8" w:rsidRPr="00C4710D" w:rsidRDefault="008B4CD8" w:rsidP="000863DF">
      <w:pPr>
        <w:rPr>
          <w:rFonts w:eastAsia="MS Mincho"/>
          <w:b/>
          <w:bCs/>
        </w:rPr>
      </w:pPr>
    </w:p>
    <w:p w14:paraId="3BE2BFF9" w14:textId="7BC17581" w:rsidR="000863DF" w:rsidRPr="00C4710D" w:rsidRDefault="000863DF" w:rsidP="000863DF">
      <w:pPr>
        <w:rPr>
          <w:rFonts w:eastAsia="MS Mincho"/>
          <w:b/>
          <w:bCs/>
        </w:rPr>
      </w:pPr>
      <w:r w:rsidRPr="00C4710D">
        <w:rPr>
          <w:rFonts w:eastAsia="MS Mincho"/>
          <w:b/>
          <w:bCs/>
        </w:rPr>
        <w:t>Q.</w:t>
      </w:r>
      <w:r w:rsidRPr="00C4710D">
        <w:rPr>
          <w:rFonts w:eastAsia="MS Mincho"/>
          <w:b/>
          <w:bCs/>
        </w:rPr>
        <w:tab/>
        <w:t>PLEASE STATE YOUR NAMES, TITLES, AND BUSINESS ADDRESSES.</w:t>
      </w:r>
    </w:p>
    <w:p w14:paraId="04EB7699" w14:textId="77777777" w:rsidR="000863DF" w:rsidRPr="00C4710D" w:rsidRDefault="000863DF" w:rsidP="000863DF">
      <w:pPr>
        <w:ind w:left="720" w:hanging="720"/>
        <w:rPr>
          <w:rFonts w:eastAsia="MS Mincho"/>
        </w:rPr>
      </w:pPr>
      <w:r w:rsidRPr="00C4710D">
        <w:t>A.</w:t>
      </w:r>
      <w:r w:rsidRPr="00C4710D">
        <w:tab/>
        <w:t xml:space="preserve">My name is Jeffrey R. Grubb. I am the Director of Resource Planning for Georgia Power Company (“Georgia Power” or the “Company”). My business address is </w:t>
      </w:r>
      <w:r w:rsidRPr="00C4710D">
        <w:rPr>
          <w:rFonts w:eastAsia="MS Mincho"/>
        </w:rPr>
        <w:t>241 Ralph McGill Boulevard, N.E., Atlanta, Georgia 30308.</w:t>
      </w:r>
    </w:p>
    <w:p w14:paraId="58317577" w14:textId="77777777" w:rsidR="000863DF" w:rsidRPr="00C4710D" w:rsidRDefault="000863DF" w:rsidP="000863DF">
      <w:pPr>
        <w:rPr>
          <w:rFonts w:eastAsia="MS Mincho"/>
        </w:rPr>
      </w:pPr>
    </w:p>
    <w:p w14:paraId="7C7444AC" w14:textId="77777777" w:rsidR="000863DF" w:rsidRPr="00C4710D" w:rsidRDefault="000863DF" w:rsidP="000863DF">
      <w:pPr>
        <w:ind w:left="720"/>
      </w:pPr>
      <w:r w:rsidRPr="00C4710D">
        <w:t>My name is Andrew Wilson Mallard. I am the Director of Renewable Development for Georgia Power. My business address is 241 Ralph McGill Boulevard, N.E., Atlanta, Georgia 30308.</w:t>
      </w:r>
    </w:p>
    <w:p w14:paraId="137B70A6" w14:textId="77777777" w:rsidR="000863DF" w:rsidRPr="00C4710D" w:rsidRDefault="000863DF" w:rsidP="000863DF">
      <w:pPr>
        <w:ind w:left="720"/>
        <w:rPr>
          <w:rFonts w:eastAsia="MS Mincho"/>
        </w:rPr>
      </w:pPr>
    </w:p>
    <w:p w14:paraId="019D5505" w14:textId="77777777" w:rsidR="000863DF" w:rsidRPr="00C4710D" w:rsidRDefault="000863DF" w:rsidP="000863DF">
      <w:pPr>
        <w:ind w:left="720"/>
      </w:pPr>
      <w:r w:rsidRPr="00C4710D">
        <w:t>My name is Jeffrey B. Weathers. I am the Manager of Resource Planning for Southern Company Services (“SCS”). My business address is 600 North 18</w:t>
      </w:r>
      <w:r w:rsidRPr="00C4710D">
        <w:rPr>
          <w:vertAlign w:val="superscript"/>
        </w:rPr>
        <w:t>th</w:t>
      </w:r>
      <w:r w:rsidRPr="00C4710D">
        <w:t xml:space="preserve"> Street, Birmingham, Alabama 35203.</w:t>
      </w:r>
    </w:p>
    <w:p w14:paraId="0BD34396" w14:textId="77777777" w:rsidR="000863DF" w:rsidRPr="00C4710D" w:rsidRDefault="000863DF" w:rsidP="000863DF"/>
    <w:p w14:paraId="42D48FC2" w14:textId="53AA5C10" w:rsidR="000863DF" w:rsidRPr="00C4710D" w:rsidRDefault="000863DF" w:rsidP="000863DF">
      <w:pPr>
        <w:ind w:left="720" w:hanging="720"/>
      </w:pPr>
      <w:r w:rsidRPr="00C4710D">
        <w:rPr>
          <w:rFonts w:eastAsia="MS Mincho"/>
          <w:b/>
          <w:bCs/>
        </w:rPr>
        <w:t>Q.</w:t>
      </w:r>
      <w:r w:rsidRPr="00C4710D">
        <w:rPr>
          <w:rFonts w:eastAsia="MS Mincho"/>
          <w:b/>
          <w:bCs/>
        </w:rPr>
        <w:tab/>
      </w:r>
      <w:r w:rsidRPr="00C4710D">
        <w:rPr>
          <w:b/>
        </w:rPr>
        <w:t xml:space="preserve">DID YOU ALL PREVIOUSLY PRESENT DIRECT TESTIMONY </w:t>
      </w:r>
      <w:r w:rsidR="008A3B9D" w:rsidRPr="00C4710D">
        <w:rPr>
          <w:b/>
        </w:rPr>
        <w:t xml:space="preserve">AND REBUTTAL TESTIMONY </w:t>
      </w:r>
      <w:r w:rsidRPr="00C4710D">
        <w:rPr>
          <w:b/>
        </w:rPr>
        <w:t>ON BEHALF OF GEORGIA POWER IN THESE PROCEEDINGS?</w:t>
      </w:r>
    </w:p>
    <w:p w14:paraId="6F9BE8A4" w14:textId="1BAB3D2B" w:rsidR="00495096" w:rsidRPr="00C4710D" w:rsidRDefault="000863DF" w:rsidP="000863DF">
      <w:r w:rsidRPr="00C4710D">
        <w:t>A.</w:t>
      </w:r>
      <w:r w:rsidRPr="00C4710D">
        <w:tab/>
        <w:t>Yes.</w:t>
      </w:r>
    </w:p>
    <w:p w14:paraId="13564B7A" w14:textId="77777777" w:rsidR="00495096" w:rsidRPr="00C4710D" w:rsidRDefault="00495096">
      <w:pPr>
        <w:spacing w:line="240" w:lineRule="auto"/>
        <w:jc w:val="left"/>
      </w:pPr>
      <w:r w:rsidRPr="00C4710D">
        <w:br w:type="page"/>
      </w:r>
    </w:p>
    <w:p w14:paraId="5EC1BFEC" w14:textId="49791BD4" w:rsidR="000863DF" w:rsidRPr="00C4710D" w:rsidRDefault="000863DF" w:rsidP="000863DF">
      <w:pPr>
        <w:rPr>
          <w:rFonts w:eastAsia="MS Mincho"/>
          <w:b/>
          <w:bCs/>
        </w:rPr>
      </w:pPr>
      <w:bookmarkStart w:id="7" w:name="_Hlk57952234"/>
      <w:r w:rsidRPr="00C4710D">
        <w:rPr>
          <w:rFonts w:eastAsia="MS Mincho"/>
          <w:b/>
          <w:bCs/>
        </w:rPr>
        <w:t>Q.</w:t>
      </w:r>
      <w:r w:rsidRPr="00C4710D">
        <w:rPr>
          <w:rFonts w:eastAsia="MS Mincho"/>
          <w:b/>
          <w:bCs/>
        </w:rPr>
        <w:tab/>
        <w:t xml:space="preserve">WHAT IS THE PURPOSE OF YOUR </w:t>
      </w:r>
      <w:r w:rsidR="004402F0" w:rsidRPr="00C4710D">
        <w:rPr>
          <w:rFonts w:eastAsia="MS Mincho"/>
          <w:b/>
          <w:bCs/>
        </w:rPr>
        <w:t>SUR</w:t>
      </w:r>
      <w:r w:rsidRPr="00C4710D">
        <w:rPr>
          <w:rFonts w:eastAsia="MS Mincho"/>
          <w:b/>
          <w:bCs/>
        </w:rPr>
        <w:t>REBUTTAL TESTIMONY?</w:t>
      </w:r>
    </w:p>
    <w:p w14:paraId="49ECAC7B" w14:textId="4D0DCD2D" w:rsidR="000863DF" w:rsidRPr="00C4710D" w:rsidRDefault="000863DF" w:rsidP="000863DF">
      <w:pPr>
        <w:ind w:left="720" w:hanging="720"/>
        <w:rPr>
          <w:rFonts w:eastAsia="MS Mincho"/>
        </w:rPr>
      </w:pPr>
      <w:r w:rsidRPr="00C4710D">
        <w:rPr>
          <w:rFonts w:eastAsia="MS Mincho"/>
        </w:rPr>
        <w:t xml:space="preserve">A. </w:t>
      </w:r>
      <w:r w:rsidRPr="00C4710D">
        <w:rPr>
          <w:rFonts w:eastAsia="MS Mincho"/>
        </w:rPr>
        <w:tab/>
      </w:r>
      <w:r w:rsidR="00C61B9F" w:rsidRPr="00C4710D">
        <w:rPr>
          <w:rFonts w:eastAsia="MS Mincho"/>
          <w:bCs/>
        </w:rPr>
        <w:t xml:space="preserve">The purpose of our testimony is to respond to the rebuttal testimony filed in </w:t>
      </w:r>
      <w:r w:rsidR="00C61B9F" w:rsidRPr="00C4710D">
        <w:rPr>
          <w:rFonts w:eastAsia="MS Mincho"/>
        </w:rPr>
        <w:t xml:space="preserve">Georgia Public Service Commission (the “Commission”) </w:t>
      </w:r>
      <w:r w:rsidR="00C61B9F" w:rsidRPr="00C4710D">
        <w:rPr>
          <w:rFonts w:eastAsia="MS Mincho"/>
          <w:bCs/>
        </w:rPr>
        <w:t>Docket Nos. 4822, 16573, and 19279 by various intervenors: Georgia Interfaith Power &amp; Light (“GIPL”), South Face Energy Institute (“Southface”), and Vote Solar</w:t>
      </w:r>
      <w:r w:rsidR="00FE1EAC" w:rsidRPr="00C4710D">
        <w:rPr>
          <w:rFonts w:eastAsia="MS Mincho"/>
          <w:bCs/>
        </w:rPr>
        <w:t xml:space="preserve"> (collectively, “GIPL-S-VS”)</w:t>
      </w:r>
      <w:r w:rsidR="00C61B9F" w:rsidRPr="00C4710D">
        <w:rPr>
          <w:rFonts w:eastAsia="MS Mincho"/>
          <w:bCs/>
        </w:rPr>
        <w:t>; Sierra Club; Heelstone Renewable Energy, LLC</w:t>
      </w:r>
      <w:r w:rsidR="00FE1EAC" w:rsidRPr="00C4710D">
        <w:rPr>
          <w:rFonts w:eastAsia="MS Mincho"/>
          <w:bCs/>
        </w:rPr>
        <w:t xml:space="preserve"> (“Heelstone”)</w:t>
      </w:r>
      <w:r w:rsidR="00C61B9F" w:rsidRPr="00C4710D">
        <w:rPr>
          <w:rFonts w:eastAsia="MS Mincho"/>
          <w:bCs/>
        </w:rPr>
        <w:t>; and Georgia Large Scale Solar Association (“GLSSA”). This testimony also responds to the direct testimony filed on behalf of the Commission’s Public Interest Advocacy Staff (“Staff”). Due to the number of parties filing testimony in this case and the limited time available to file surrebuttal, our testimony focuses on several key issues without attempting to address every issue raised by the parties. However, the fact that this surrebuttal testimony may not respond to a particular position offered by an intervenor or Staff should not be construed as Georgia Power’s acceptance of, or agreement with, such position</w:t>
      </w:r>
      <w:r w:rsidRPr="00C4710D">
        <w:rPr>
          <w:rFonts w:eastAsia="MS Mincho"/>
        </w:rPr>
        <w:t>.</w:t>
      </w:r>
    </w:p>
    <w:p w14:paraId="17A1CC2B" w14:textId="34214ABB" w:rsidR="000863DF" w:rsidRPr="00C4710D" w:rsidRDefault="000863DF" w:rsidP="000863DF">
      <w:pPr>
        <w:rPr>
          <w:rFonts w:eastAsia="MS Mincho"/>
        </w:rPr>
      </w:pPr>
    </w:p>
    <w:p w14:paraId="5DEE2650" w14:textId="4187CE2C" w:rsidR="00993E17" w:rsidRPr="00C4710D" w:rsidRDefault="00993E17" w:rsidP="00993E17">
      <w:pPr>
        <w:rPr>
          <w:rFonts w:eastAsia="MS Mincho"/>
          <w:b/>
          <w:bCs/>
        </w:rPr>
      </w:pPr>
      <w:r w:rsidRPr="00C4710D">
        <w:rPr>
          <w:rFonts w:eastAsia="MS Mincho"/>
          <w:b/>
          <w:bCs/>
        </w:rPr>
        <w:t>Q.</w:t>
      </w:r>
      <w:r w:rsidRPr="00C4710D">
        <w:rPr>
          <w:rFonts w:eastAsia="MS Mincho"/>
          <w:b/>
          <w:bCs/>
        </w:rPr>
        <w:tab/>
        <w:t>DO YOU HAVE ANY EXHIBITS TO ACCOMPANY YOUR TESTIMONY?</w:t>
      </w:r>
    </w:p>
    <w:p w14:paraId="4CEEE168" w14:textId="77777777" w:rsidR="008D2B55" w:rsidRPr="00C4710D" w:rsidRDefault="008D2B55" w:rsidP="008D2B55">
      <w:pPr>
        <w:rPr>
          <w:rFonts w:eastAsia="MS Mincho"/>
          <w:bCs/>
        </w:rPr>
      </w:pPr>
      <w:r w:rsidRPr="00C4710D">
        <w:rPr>
          <w:rFonts w:eastAsia="MS Mincho"/>
        </w:rPr>
        <w:t xml:space="preserve">A. </w:t>
      </w:r>
      <w:r w:rsidRPr="00C4710D">
        <w:rPr>
          <w:rFonts w:eastAsia="MS Mincho"/>
        </w:rPr>
        <w:tab/>
        <w:t xml:space="preserve">Yes, we are sponsoring the following two Exhibits in support of our testimony: </w:t>
      </w:r>
    </w:p>
    <w:p w14:paraId="034A1F5D" w14:textId="510436C8" w:rsidR="008D2B55" w:rsidRPr="00C4710D" w:rsidRDefault="008D2B55" w:rsidP="008D2B55">
      <w:pPr>
        <w:pStyle w:val="ListParagraph"/>
        <w:numPr>
          <w:ilvl w:val="0"/>
          <w:numId w:val="7"/>
        </w:numPr>
        <w:rPr>
          <w:rFonts w:eastAsia="MS Mincho"/>
          <w:bCs/>
        </w:rPr>
      </w:pPr>
      <w:r w:rsidRPr="00C4710D">
        <w:rPr>
          <w:rFonts w:eastAsia="MS Mincho"/>
          <w:bCs/>
        </w:rPr>
        <w:t>Exhibit JRG/</w:t>
      </w:r>
      <w:r w:rsidR="00090AA6" w:rsidRPr="00C4710D">
        <w:rPr>
          <w:rFonts w:eastAsia="MS Mincho"/>
          <w:bCs/>
        </w:rPr>
        <w:t>A</w:t>
      </w:r>
      <w:r w:rsidRPr="00C4710D">
        <w:rPr>
          <w:rFonts w:eastAsia="MS Mincho"/>
          <w:bCs/>
        </w:rPr>
        <w:t xml:space="preserve">WM/JBW – S1: demonstrative exhibit to illustrate the potential impacts of fixed avoided cost payments. </w:t>
      </w:r>
    </w:p>
    <w:p w14:paraId="4DA1D853" w14:textId="2ACA092B" w:rsidR="008D2B55" w:rsidRPr="00C4710D" w:rsidRDefault="008D2B55" w:rsidP="008D2B55">
      <w:pPr>
        <w:pStyle w:val="ListParagraph"/>
        <w:numPr>
          <w:ilvl w:val="0"/>
          <w:numId w:val="7"/>
        </w:numPr>
        <w:rPr>
          <w:rFonts w:eastAsia="MS Mincho"/>
          <w:bCs/>
        </w:rPr>
      </w:pPr>
      <w:r w:rsidRPr="00C4710D">
        <w:rPr>
          <w:rFonts w:eastAsia="MS Mincho"/>
          <w:bCs/>
        </w:rPr>
        <w:t>Exhibit JRG/</w:t>
      </w:r>
      <w:r w:rsidR="00090AA6" w:rsidRPr="00C4710D">
        <w:rPr>
          <w:rFonts w:eastAsia="MS Mincho"/>
          <w:bCs/>
        </w:rPr>
        <w:t>A</w:t>
      </w:r>
      <w:r w:rsidRPr="00C4710D">
        <w:rPr>
          <w:rFonts w:eastAsia="MS Mincho"/>
          <w:bCs/>
        </w:rPr>
        <w:t>WM/JBW – S2: copy of a typical Qualifying Facility (“QF”) billing statement to evidence the hourly data provided to QFs each month (with customer-specific information removed)</w:t>
      </w:r>
      <w:r w:rsidR="00470954" w:rsidRPr="00C4710D">
        <w:rPr>
          <w:rFonts w:eastAsia="MS Mincho"/>
          <w:bCs/>
        </w:rPr>
        <w:t>.</w:t>
      </w:r>
      <w:r w:rsidR="002973E4" w:rsidRPr="00C4710D">
        <w:rPr>
          <w:rFonts w:eastAsia="MS Mincho"/>
          <w:bCs/>
        </w:rPr>
        <w:t xml:space="preserve"> </w:t>
      </w:r>
    </w:p>
    <w:p w14:paraId="36A3D5C0" w14:textId="77777777" w:rsidR="002A1CA1" w:rsidRPr="00C4710D" w:rsidRDefault="002A1CA1" w:rsidP="002A1CA1">
      <w:pPr>
        <w:pStyle w:val="ListParagraph"/>
        <w:rPr>
          <w:rFonts w:eastAsia="MS Mincho"/>
          <w:bCs/>
        </w:rPr>
      </w:pPr>
    </w:p>
    <w:p w14:paraId="1B32491D" w14:textId="77777777" w:rsidR="000F095F" w:rsidRPr="00C4710D" w:rsidRDefault="000F095F" w:rsidP="000F095F">
      <w:pPr>
        <w:rPr>
          <w:rFonts w:eastAsia="MS Mincho"/>
        </w:rPr>
      </w:pPr>
      <w:bookmarkStart w:id="8" w:name="_Toc58467584"/>
      <w:bookmarkStart w:id="9" w:name="_Toc57770862"/>
      <w:bookmarkStart w:id="10" w:name="_Toc57976106"/>
      <w:bookmarkEnd w:id="7"/>
      <w:bookmarkEnd w:id="6"/>
      <w:r w:rsidRPr="00C4710D">
        <w:rPr>
          <w:rFonts w:eastAsia="MS Mincho"/>
          <w:b/>
          <w:bCs/>
        </w:rPr>
        <w:t>Q.</w:t>
      </w:r>
      <w:r w:rsidRPr="00C4710D">
        <w:rPr>
          <w:rFonts w:eastAsia="MS Mincho"/>
          <w:b/>
          <w:bCs/>
        </w:rPr>
        <w:tab/>
        <w:t>PLEASE SUMMARIZE YOUR TESTIMONY.</w:t>
      </w:r>
    </w:p>
    <w:p w14:paraId="732BA7F0" w14:textId="403715A6" w:rsidR="000F095F" w:rsidRPr="00C4710D" w:rsidRDefault="000F095F" w:rsidP="00745446">
      <w:pPr>
        <w:ind w:left="720" w:hanging="720"/>
        <w:contextualSpacing/>
        <w:rPr>
          <w:rFonts w:eastAsia="MS Mincho"/>
        </w:rPr>
      </w:pPr>
      <w:r w:rsidRPr="00C4710D">
        <w:rPr>
          <w:rFonts w:eastAsia="MS Mincho"/>
        </w:rPr>
        <w:t>A.</w:t>
      </w:r>
      <w:r w:rsidRPr="00C4710D">
        <w:rPr>
          <w:rFonts w:eastAsia="MS Mincho"/>
        </w:rPr>
        <w:tab/>
      </w:r>
      <w:r w:rsidR="001769F1" w:rsidRPr="00C4710D">
        <w:rPr>
          <w:rFonts w:eastAsia="MS Mincho"/>
        </w:rPr>
        <w:t>As discussed in detail in the testimony below, most of the concerns raised by intervenors and Staff have been considered and rejected previously by this Commission in Docket No. 4822 or implemented already through programs approved in an IRP. Other concerns or proposals lack sufficient support when viewed in light of Commission precedent, recent orders from the Federal Energy Regulatory Commission (“FERC”), and longstanding Southern Company System operations. This Commission is well-positioned to oversee and control the deployment of capacity and renewable resources to the benefit of customers through the Integrated Resource Planning (“IRP”) process and PURPA implementation more broadly. Many suggestions offered by other parties in this docket would cause the Commission to relinquish such control, harming customers. Our direct and rebuttal testimonies provide further details on these issues, as well as support for the Company’s proposals as a whole. Below, we outline our primary positions in this proceeding and summarize our responses to the concerns raised by intervenors and Staff</w:t>
      </w:r>
      <w:r w:rsidRPr="00C4710D">
        <w:rPr>
          <w:rFonts w:eastAsia="MS Mincho"/>
        </w:rPr>
        <w:t>.</w:t>
      </w:r>
      <w:r w:rsidR="002973E4" w:rsidRPr="00C4710D">
        <w:rPr>
          <w:rFonts w:eastAsia="MS Mincho"/>
        </w:rPr>
        <w:t xml:space="preserve"> </w:t>
      </w:r>
    </w:p>
    <w:p w14:paraId="6CD68A30" w14:textId="77777777" w:rsidR="000F095F" w:rsidRPr="00C4710D" w:rsidRDefault="000F095F" w:rsidP="000F095F">
      <w:pPr>
        <w:ind w:left="720" w:hanging="720"/>
        <w:contextualSpacing/>
        <w:rPr>
          <w:rFonts w:eastAsia="MS Mincho"/>
        </w:rPr>
      </w:pPr>
    </w:p>
    <w:p w14:paraId="232273BC" w14:textId="138749F9" w:rsidR="00CE2654" w:rsidRPr="00C4710D" w:rsidRDefault="00CE2654" w:rsidP="0061784B">
      <w:pPr>
        <w:pStyle w:val="ListParagraph"/>
        <w:numPr>
          <w:ilvl w:val="0"/>
          <w:numId w:val="7"/>
        </w:numPr>
        <w:rPr>
          <w:rFonts w:eastAsia="MS Mincho"/>
          <w:b/>
          <w:bCs/>
        </w:rPr>
      </w:pPr>
      <w:r w:rsidRPr="00C4710D">
        <w:rPr>
          <w:rFonts w:eastAsia="MS Mincho"/>
          <w:b/>
          <w:bCs/>
        </w:rPr>
        <w:t>Transparency of dat</w:t>
      </w:r>
      <w:r w:rsidR="00DF66F1" w:rsidRPr="00C4710D">
        <w:rPr>
          <w:rFonts w:eastAsia="MS Mincho"/>
          <w:b/>
          <w:bCs/>
        </w:rPr>
        <w:t>a: The proposals by</w:t>
      </w:r>
      <w:r w:rsidRPr="00C4710D">
        <w:rPr>
          <w:rFonts w:eastAsia="MS Mincho"/>
          <w:b/>
          <w:bCs/>
        </w:rPr>
        <w:t xml:space="preserve"> </w:t>
      </w:r>
      <w:r w:rsidR="00DF66F1" w:rsidRPr="00C4710D">
        <w:rPr>
          <w:rFonts w:eastAsia="MS Mincho"/>
          <w:b/>
          <w:bCs/>
        </w:rPr>
        <w:t>i</w:t>
      </w:r>
      <w:r w:rsidRPr="00C4710D">
        <w:rPr>
          <w:rFonts w:eastAsia="MS Mincho"/>
          <w:b/>
          <w:bCs/>
        </w:rPr>
        <w:t>ntervenors and Staff suggestions</w:t>
      </w:r>
      <w:r w:rsidR="001F12EA" w:rsidRPr="00C4710D">
        <w:rPr>
          <w:rFonts w:eastAsia="MS Mincho"/>
          <w:b/>
          <w:bCs/>
        </w:rPr>
        <w:t xml:space="preserve"> </w:t>
      </w:r>
      <w:r w:rsidRPr="00C4710D">
        <w:rPr>
          <w:rFonts w:eastAsia="MS Mincho"/>
          <w:b/>
          <w:bCs/>
        </w:rPr>
        <w:t xml:space="preserve">to enhance </w:t>
      </w:r>
      <w:r w:rsidR="00DF66F1" w:rsidRPr="00C4710D">
        <w:rPr>
          <w:rFonts w:eastAsia="MS Mincho"/>
          <w:b/>
          <w:bCs/>
        </w:rPr>
        <w:t>“</w:t>
      </w:r>
      <w:r w:rsidRPr="00C4710D">
        <w:rPr>
          <w:rFonts w:eastAsia="MS Mincho"/>
          <w:b/>
          <w:bCs/>
        </w:rPr>
        <w:t>transparency</w:t>
      </w:r>
      <w:r w:rsidR="00DF66F1" w:rsidRPr="00C4710D">
        <w:rPr>
          <w:rFonts w:eastAsia="MS Mincho"/>
          <w:b/>
          <w:bCs/>
        </w:rPr>
        <w:t>”</w:t>
      </w:r>
      <w:r w:rsidRPr="00C4710D">
        <w:rPr>
          <w:rFonts w:eastAsia="MS Mincho"/>
          <w:b/>
          <w:bCs/>
        </w:rPr>
        <w:t xml:space="preserve"> will harm competition, and ultimately, customers.</w:t>
      </w:r>
      <w:r w:rsidR="002973E4" w:rsidRPr="00C4710D">
        <w:rPr>
          <w:rFonts w:eastAsia="MS Mincho"/>
          <w:b/>
          <w:bCs/>
        </w:rPr>
        <w:t xml:space="preserve"> </w:t>
      </w:r>
      <w:r w:rsidRPr="00C4710D">
        <w:rPr>
          <w:rFonts w:eastAsia="MS Mincho"/>
        </w:rPr>
        <w:t>As explained in Part II.B, providing longer term and more detailed projections, as well as</w:t>
      </w:r>
      <w:r w:rsidR="00DF66F1" w:rsidRPr="00C4710D">
        <w:rPr>
          <w:rFonts w:eastAsia="MS Mincho"/>
        </w:rPr>
        <w:t xml:space="preserve"> the</w:t>
      </w:r>
      <w:r w:rsidRPr="00C4710D">
        <w:rPr>
          <w:rFonts w:eastAsia="MS Mincho"/>
        </w:rPr>
        <w:t xml:space="preserve"> methodologies behind the </w:t>
      </w:r>
      <w:r w:rsidR="00401AD2" w:rsidRPr="00C4710D">
        <w:rPr>
          <w:rFonts w:eastAsia="MS Mincho"/>
        </w:rPr>
        <w:t>Renewable Cost Benefit (“</w:t>
      </w:r>
      <w:r w:rsidRPr="00C4710D">
        <w:rPr>
          <w:rFonts w:eastAsia="MS Mincho"/>
        </w:rPr>
        <w:t>RCB</w:t>
      </w:r>
      <w:r w:rsidR="00401AD2" w:rsidRPr="00C4710D">
        <w:rPr>
          <w:rFonts w:eastAsia="MS Mincho"/>
        </w:rPr>
        <w:t>”)</w:t>
      </w:r>
      <w:r w:rsidRPr="00C4710D">
        <w:rPr>
          <w:rFonts w:eastAsia="MS Mincho"/>
        </w:rPr>
        <w:t xml:space="preserve"> Framework, will primarily benefit developers while exposing customers to risks.</w:t>
      </w:r>
    </w:p>
    <w:p w14:paraId="7BBEBC6C" w14:textId="77777777" w:rsidR="00CE2654" w:rsidRPr="00C4710D" w:rsidRDefault="00CE2654" w:rsidP="00CE2654">
      <w:pPr>
        <w:ind w:left="1080"/>
        <w:rPr>
          <w:rFonts w:eastAsia="MS Mincho"/>
        </w:rPr>
      </w:pPr>
    </w:p>
    <w:p w14:paraId="5F4F863A" w14:textId="1AE25A4B" w:rsidR="00CE2654" w:rsidRPr="00C4710D" w:rsidRDefault="00CE2654" w:rsidP="0061784B">
      <w:pPr>
        <w:pStyle w:val="ListParagraph"/>
        <w:numPr>
          <w:ilvl w:val="0"/>
          <w:numId w:val="7"/>
        </w:numPr>
        <w:rPr>
          <w:rFonts w:eastAsia="MS Mincho"/>
        </w:rPr>
      </w:pPr>
      <w:r w:rsidRPr="00C4710D">
        <w:rPr>
          <w:rFonts w:eastAsia="MS Mincho"/>
          <w:b/>
          <w:bCs/>
        </w:rPr>
        <w:t>Avoided Energy Costs: Removal of the Fuel Cost and Marginal Cost Multipliers is appropriate</w:t>
      </w:r>
      <w:r w:rsidRPr="00C4710D">
        <w:rPr>
          <w:rFonts w:eastAsia="MS Mincho"/>
        </w:rPr>
        <w:t>. As we explain further in Part III.A, removal of these multipliers from the Avoided Energy Cost formula in Docket No. 4822 would modernize the formula to be consistent with Southern Company system dispatch protocols (and true avoided energy costs) while still ensuring that unit commitment costs are appropriately captured.</w:t>
      </w:r>
      <w:r w:rsidR="002973E4" w:rsidRPr="00C4710D">
        <w:rPr>
          <w:rFonts w:eastAsia="MS Mincho"/>
        </w:rPr>
        <w:t xml:space="preserve"> </w:t>
      </w:r>
    </w:p>
    <w:p w14:paraId="08DD36D1" w14:textId="77777777" w:rsidR="00CE2654" w:rsidRPr="00C4710D" w:rsidRDefault="00CE2654" w:rsidP="00CE2654">
      <w:pPr>
        <w:pStyle w:val="ListParagraph"/>
        <w:ind w:left="1440"/>
        <w:rPr>
          <w:rFonts w:eastAsia="MS Mincho"/>
        </w:rPr>
      </w:pPr>
    </w:p>
    <w:p w14:paraId="298C97F0" w14:textId="40EE30E1" w:rsidR="00CE2654" w:rsidRPr="00C4710D" w:rsidRDefault="00CE2654" w:rsidP="0061784B">
      <w:pPr>
        <w:pStyle w:val="ListParagraph"/>
        <w:numPr>
          <w:ilvl w:val="0"/>
          <w:numId w:val="7"/>
        </w:numPr>
        <w:rPr>
          <w:rFonts w:eastAsia="MS Mincho"/>
        </w:rPr>
      </w:pPr>
      <w:r w:rsidRPr="00C4710D">
        <w:rPr>
          <w:rFonts w:eastAsia="MS Mincho"/>
          <w:b/>
          <w:bCs/>
        </w:rPr>
        <w:t>Fixed energy payments: Intervenors and Staff fail to address the core concerns raised by this Commission and by FERC.</w:t>
      </w:r>
      <w:r w:rsidRPr="00C4710D">
        <w:rPr>
          <w:rFonts w:eastAsia="MS Mincho"/>
        </w:rPr>
        <w:t xml:space="preserve"> Fixed price payments are not required by (and are often inconsistent with) </w:t>
      </w:r>
      <w:r w:rsidR="00942CA8" w:rsidRPr="00C4710D">
        <w:rPr>
          <w:rFonts w:eastAsia="MS Mincho"/>
        </w:rPr>
        <w:t xml:space="preserve">the </w:t>
      </w:r>
      <w:r w:rsidR="00942CA8" w:rsidRPr="00C4710D">
        <w:t>Public Utility Regulatory Policies Act of 1978 (“PURPA”)</w:t>
      </w:r>
      <w:r w:rsidRPr="00C4710D">
        <w:rPr>
          <w:rFonts w:eastAsia="MS Mincho"/>
        </w:rPr>
        <w:t xml:space="preserve">, are unnecessary </w:t>
      </w:r>
      <w:r w:rsidR="00DF66F1" w:rsidRPr="00C4710D">
        <w:rPr>
          <w:rFonts w:eastAsia="MS Mincho"/>
        </w:rPr>
        <w:t>to encourage</w:t>
      </w:r>
      <w:r w:rsidRPr="00C4710D">
        <w:rPr>
          <w:rFonts w:eastAsia="MS Mincho"/>
        </w:rPr>
        <w:t xml:space="preserve"> renewable development and, as discussed in Part III.B, have been shown to expose customers to significant and unnecessary cost risk.</w:t>
      </w:r>
      <w:r w:rsidR="002973E4" w:rsidRPr="00C4710D">
        <w:rPr>
          <w:rFonts w:eastAsia="MS Mincho"/>
        </w:rPr>
        <w:t xml:space="preserve"> </w:t>
      </w:r>
      <w:r w:rsidRPr="00C4710D">
        <w:rPr>
          <w:rFonts w:eastAsia="MS Mincho"/>
        </w:rPr>
        <w:t xml:space="preserve">Although, through the </w:t>
      </w:r>
      <w:r w:rsidR="00D07C91" w:rsidRPr="00C4710D">
        <w:rPr>
          <w:rFonts w:eastAsia="MS Mincho"/>
        </w:rPr>
        <w:t>IRP</w:t>
      </w:r>
      <w:r w:rsidRPr="00C4710D">
        <w:rPr>
          <w:rFonts w:eastAsia="MS Mincho"/>
        </w:rPr>
        <w:t xml:space="preserve"> process, this Commission has approved many renewable programs with power purchase agreement (“PPA”) options that offer fixed pricing for renewable generators (most of which are also QFs), fixed energy payments are not appropriate to offer to a QF through the must</w:t>
      </w:r>
      <w:r w:rsidR="001616DC" w:rsidRPr="00C4710D">
        <w:rPr>
          <w:rFonts w:eastAsia="MS Mincho"/>
        </w:rPr>
        <w:t>-</w:t>
      </w:r>
      <w:r w:rsidRPr="00C4710D">
        <w:rPr>
          <w:rFonts w:eastAsia="MS Mincho"/>
        </w:rPr>
        <w:t xml:space="preserve">take, uncapped PURPA contracts. </w:t>
      </w:r>
    </w:p>
    <w:p w14:paraId="11ADABE1" w14:textId="77777777" w:rsidR="00CE2654" w:rsidRPr="00C4710D" w:rsidRDefault="00CE2654" w:rsidP="00CE2654">
      <w:pPr>
        <w:pStyle w:val="ListParagraph"/>
        <w:rPr>
          <w:rFonts w:eastAsia="MS Mincho"/>
        </w:rPr>
      </w:pPr>
    </w:p>
    <w:p w14:paraId="4EA79A79" w14:textId="59645514" w:rsidR="00CE2654" w:rsidRPr="00C4710D" w:rsidRDefault="00CE2654" w:rsidP="0061784B">
      <w:pPr>
        <w:pStyle w:val="ListParagraph"/>
        <w:numPr>
          <w:ilvl w:val="0"/>
          <w:numId w:val="7"/>
        </w:numPr>
        <w:rPr>
          <w:rFonts w:eastAsia="MS Mincho"/>
        </w:rPr>
      </w:pPr>
      <w:r w:rsidRPr="00C4710D">
        <w:rPr>
          <w:rFonts w:eastAsia="MS Mincho"/>
          <w:b/>
          <w:bCs/>
        </w:rPr>
        <w:t>Avoided Capacity Costs: Paying for capacity without well-established preconditions harms customers</w:t>
      </w:r>
      <w:r w:rsidRPr="00C4710D">
        <w:rPr>
          <w:rFonts w:eastAsia="MS Mincho"/>
        </w:rPr>
        <w:t xml:space="preserve">. As </w:t>
      </w:r>
      <w:r w:rsidR="00401AD2" w:rsidRPr="00C4710D">
        <w:rPr>
          <w:rFonts w:eastAsia="MS Mincho"/>
        </w:rPr>
        <w:t xml:space="preserve">has been </w:t>
      </w:r>
      <w:r w:rsidRPr="00C4710D">
        <w:rPr>
          <w:rFonts w:eastAsia="MS Mincho"/>
        </w:rPr>
        <w:t xml:space="preserve">long since established in this Commission’s foundational 1994 Final Order in Docket No. 4822, capacity payments are only appropriate when a QF makes a firm and binding commitment to meet a capacity need identified in the Commission’s </w:t>
      </w:r>
      <w:r w:rsidR="00D37858" w:rsidRPr="00C4710D">
        <w:rPr>
          <w:rFonts w:eastAsia="MS Mincho"/>
        </w:rPr>
        <w:t>IRP</w:t>
      </w:r>
      <w:r w:rsidRPr="00C4710D">
        <w:rPr>
          <w:rFonts w:eastAsia="MS Mincho"/>
        </w:rPr>
        <w:t xml:space="preserve"> process. Decades of successful IRP-based solicitations underscore how fundamental the Commission’s Rule governing competitive procurements has been in both establishing PURPA avoided capacity costs while also protecting customers and ensuring resource additions are in the best interests of customers. Meanwhile, FERC’s continued support for defining</w:t>
      </w:r>
      <w:r w:rsidR="002973E4" w:rsidRPr="00C4710D">
        <w:rPr>
          <w:rFonts w:eastAsia="MS Mincho"/>
        </w:rPr>
        <w:t xml:space="preserve"> </w:t>
      </w:r>
      <w:r w:rsidRPr="00C4710D">
        <w:rPr>
          <w:rFonts w:eastAsia="MS Mincho"/>
        </w:rPr>
        <w:t>avoided capacity costs through competitive procurements reinforces how, in its PURPA implementation, this Commission was, and remains, ahead of the curve. We further explain these important points</w:t>
      </w:r>
      <w:r w:rsidR="00D07C91" w:rsidRPr="00C4710D">
        <w:rPr>
          <w:rFonts w:eastAsia="MS Mincho"/>
        </w:rPr>
        <w:t xml:space="preserve"> in Part IV</w:t>
      </w:r>
      <w:r w:rsidRPr="00C4710D">
        <w:rPr>
          <w:rFonts w:eastAsia="MS Mincho"/>
        </w:rPr>
        <w:t xml:space="preserve">. </w:t>
      </w:r>
    </w:p>
    <w:p w14:paraId="0EDDF598" w14:textId="77777777" w:rsidR="00CE2654" w:rsidRPr="00C4710D" w:rsidRDefault="00CE2654" w:rsidP="00CE2654">
      <w:pPr>
        <w:rPr>
          <w:rFonts w:eastAsia="MS Mincho"/>
        </w:rPr>
      </w:pPr>
    </w:p>
    <w:p w14:paraId="74236F54" w14:textId="773193BF" w:rsidR="00CE2654" w:rsidRPr="00C4710D" w:rsidRDefault="00401AD2" w:rsidP="0061784B">
      <w:pPr>
        <w:pStyle w:val="ListParagraph"/>
        <w:numPr>
          <w:ilvl w:val="0"/>
          <w:numId w:val="7"/>
        </w:numPr>
        <w:rPr>
          <w:rFonts w:eastAsia="MS Mincho"/>
        </w:rPr>
      </w:pPr>
      <w:r w:rsidRPr="00C4710D">
        <w:rPr>
          <w:rFonts w:eastAsia="MS Mincho"/>
          <w:b/>
          <w:bCs/>
        </w:rPr>
        <w:t>RCB</w:t>
      </w:r>
      <w:r w:rsidR="00467ACE" w:rsidRPr="00C4710D">
        <w:rPr>
          <w:rFonts w:eastAsia="MS Mincho"/>
          <w:b/>
          <w:bCs/>
        </w:rPr>
        <w:t xml:space="preserve"> </w:t>
      </w:r>
      <w:r w:rsidR="00CE2654" w:rsidRPr="00C4710D">
        <w:rPr>
          <w:rFonts w:eastAsia="MS Mincho"/>
          <w:b/>
          <w:bCs/>
        </w:rPr>
        <w:t>Framework: The Company’s proposal to apply “energy” related components and to exclude “investment” related components is appropriate.</w:t>
      </w:r>
      <w:r w:rsidR="00CE2654" w:rsidRPr="00C4710D">
        <w:rPr>
          <w:rFonts w:eastAsia="MS Mincho"/>
        </w:rPr>
        <w:t xml:space="preserve"> As discussed throughout Part V, applying all of the energy-related RCB Framework components in Docket No. 4822 and removing </w:t>
      </w:r>
      <w:r w:rsidR="003C27EC" w:rsidRPr="00C4710D">
        <w:rPr>
          <w:rFonts w:eastAsia="MS Mincho"/>
        </w:rPr>
        <w:t>investment</w:t>
      </w:r>
      <w:r w:rsidR="00CE2654" w:rsidRPr="00C4710D">
        <w:rPr>
          <w:rFonts w:eastAsia="MS Mincho"/>
        </w:rPr>
        <w:t xml:space="preserve">-related components from avoided cost calculations in Docket No. 16573 will better align the application of the RCB Framework </w:t>
      </w:r>
      <w:r w:rsidR="0068461F" w:rsidRPr="00C4710D">
        <w:rPr>
          <w:rFonts w:eastAsia="MS Mincho"/>
        </w:rPr>
        <w:t>with</w:t>
      </w:r>
      <w:r w:rsidR="00CE2654" w:rsidRPr="00C4710D">
        <w:rPr>
          <w:rFonts w:eastAsia="MS Mincho"/>
        </w:rPr>
        <w:t xml:space="preserve"> the product offered by the renewable resource and capture the appropriate costs and benefits.</w:t>
      </w:r>
    </w:p>
    <w:p w14:paraId="0E72E2AE" w14:textId="77777777" w:rsidR="00CE2654" w:rsidRPr="00C4710D" w:rsidRDefault="00CE2654" w:rsidP="00CE2654">
      <w:pPr>
        <w:pStyle w:val="ListParagraph"/>
        <w:rPr>
          <w:rFonts w:eastAsia="MS Mincho"/>
        </w:rPr>
      </w:pPr>
    </w:p>
    <w:p w14:paraId="686ED5BF" w14:textId="497168DC" w:rsidR="00CE2654" w:rsidRPr="00C4710D" w:rsidRDefault="00CE2654" w:rsidP="0061784B">
      <w:pPr>
        <w:pStyle w:val="ListParagraph"/>
        <w:numPr>
          <w:ilvl w:val="0"/>
          <w:numId w:val="7"/>
        </w:numPr>
        <w:rPr>
          <w:rFonts w:eastAsia="MS Mincho"/>
        </w:rPr>
      </w:pPr>
      <w:r w:rsidRPr="00C4710D">
        <w:rPr>
          <w:rFonts w:eastAsia="MS Mincho"/>
          <w:b/>
          <w:bCs/>
        </w:rPr>
        <w:t>QF Standard Offer Contracts: There is general consensus on the need to update these pro forma PPAs, and only a few provisions require further clarification, which is provided here.</w:t>
      </w:r>
      <w:r w:rsidRPr="00C4710D">
        <w:rPr>
          <w:rFonts w:eastAsia="MS Mincho"/>
        </w:rPr>
        <w:t xml:space="preserve"> As evidenced by the engagement from Staff and other intervenors with the PPA updates proposed by the Company, there appears to be broad agreement on most of the suggested updates to the PPAs; however, as discussed further in Part VI, some parties seem to misunderstand certain provisions</w:t>
      </w:r>
      <w:r w:rsidR="008B45CE" w:rsidRPr="00C4710D">
        <w:rPr>
          <w:rFonts w:eastAsia="MS Mincho"/>
        </w:rPr>
        <w:t>, which</w:t>
      </w:r>
      <w:r w:rsidRPr="00C4710D">
        <w:rPr>
          <w:rFonts w:eastAsia="MS Mincho"/>
        </w:rPr>
        <w:t xml:space="preserve"> the Company clarifies further here.</w:t>
      </w:r>
    </w:p>
    <w:p w14:paraId="7F0AE47D" w14:textId="77777777" w:rsidR="00CE2654" w:rsidRPr="00C4710D" w:rsidRDefault="00CE2654" w:rsidP="00CE2654">
      <w:pPr>
        <w:pStyle w:val="ListParagraph"/>
        <w:ind w:left="1440"/>
        <w:rPr>
          <w:rFonts w:eastAsia="MS Mincho"/>
        </w:rPr>
      </w:pPr>
    </w:p>
    <w:p w14:paraId="5FEC8306" w14:textId="69BCF25D" w:rsidR="00CE2654" w:rsidRPr="00C4710D" w:rsidRDefault="00CE2654" w:rsidP="0061784B">
      <w:pPr>
        <w:pStyle w:val="ListParagraph"/>
        <w:numPr>
          <w:ilvl w:val="0"/>
          <w:numId w:val="7"/>
        </w:numPr>
      </w:pPr>
      <w:r w:rsidRPr="00C4710D">
        <w:rPr>
          <w:rFonts w:eastAsia="MS Mincho"/>
          <w:b/>
          <w:bCs/>
        </w:rPr>
        <w:t>Existing QF Contracts: The Company is committed to finding workable solutions for developers with executed QF PPAs, but undermining Commission principles and precedent is not a workable solution.</w:t>
      </w:r>
      <w:r w:rsidRPr="00C4710D">
        <w:rPr>
          <w:rFonts w:eastAsia="MS Mincho"/>
        </w:rPr>
        <w:t xml:space="preserve"> This Commission intentionally established a formula-based avoided cost energy rate in its 1994 order, which was intentionally incorporated and has long since been understood to flow through the QF PPAs and to be updated from time to time. As we explain in Part VII, this formula approach supports Commission principles and precedent designed to protect Georgia Power customers due to ever changing avoided costs. Necessary updates to the formula as needed over time are an important part of this protection.</w:t>
      </w:r>
    </w:p>
    <w:p w14:paraId="46814010" w14:textId="77777777" w:rsidR="000F095F" w:rsidRPr="00C4710D" w:rsidRDefault="000F095F" w:rsidP="000F095F">
      <w:pPr>
        <w:pStyle w:val="ListParagraph"/>
      </w:pPr>
    </w:p>
    <w:p w14:paraId="675E3D09" w14:textId="6E169BFC" w:rsidR="009E46AE" w:rsidRPr="00C4710D" w:rsidRDefault="005844A4" w:rsidP="000863DF">
      <w:pPr>
        <w:pStyle w:val="Heading1"/>
        <w:jc w:val="center"/>
        <w:rPr>
          <w:rFonts w:cs="Times New Roman"/>
          <w:szCs w:val="24"/>
          <w:u w:val="single"/>
        </w:rPr>
      </w:pPr>
      <w:bookmarkStart w:id="11" w:name="_Toc59531749"/>
      <w:r w:rsidRPr="00C4710D">
        <w:rPr>
          <w:rFonts w:cs="Times New Roman"/>
          <w:szCs w:val="24"/>
          <w:u w:val="single"/>
        </w:rPr>
        <w:t>G</w:t>
      </w:r>
      <w:r w:rsidR="00C22AD3" w:rsidRPr="00C4710D">
        <w:rPr>
          <w:rFonts w:cs="Times New Roman"/>
          <w:szCs w:val="24"/>
          <w:u w:val="single"/>
        </w:rPr>
        <w:t>ENERAL CONSIDERATIONS</w:t>
      </w:r>
      <w:bookmarkEnd w:id="8"/>
      <w:bookmarkEnd w:id="11"/>
    </w:p>
    <w:p w14:paraId="746B0BB4" w14:textId="77777777" w:rsidR="005A2FAC" w:rsidRPr="00C4710D" w:rsidRDefault="005A2FAC" w:rsidP="005A2FAC"/>
    <w:p w14:paraId="2690A6C6" w14:textId="77777777" w:rsidR="008629C9" w:rsidRPr="00C4710D" w:rsidRDefault="008629C9" w:rsidP="008629C9">
      <w:pPr>
        <w:pStyle w:val="Heading2"/>
      </w:pPr>
      <w:bookmarkStart w:id="12" w:name="_Toc59531750"/>
      <w:bookmarkStart w:id="13" w:name="_Toc58467585"/>
      <w:r w:rsidRPr="00C4710D">
        <w:t>State of the Renewables Market in Georgia</w:t>
      </w:r>
      <w:bookmarkEnd w:id="12"/>
    </w:p>
    <w:p w14:paraId="165AC157" w14:textId="77777777" w:rsidR="008629C9" w:rsidRPr="00C4710D" w:rsidRDefault="008629C9" w:rsidP="008629C9">
      <w:pPr>
        <w:ind w:left="720" w:hanging="720"/>
        <w:rPr>
          <w:b/>
          <w:bCs/>
          <w:caps/>
        </w:rPr>
      </w:pPr>
    </w:p>
    <w:p w14:paraId="28413CD9" w14:textId="4B48AFD9" w:rsidR="00D10A3A" w:rsidRPr="00C4710D" w:rsidRDefault="00D10A3A" w:rsidP="00D10A3A">
      <w:pPr>
        <w:ind w:left="720" w:hanging="720"/>
        <w:rPr>
          <w:b/>
          <w:bCs/>
          <w:caps/>
        </w:rPr>
      </w:pPr>
      <w:r w:rsidRPr="00C4710D">
        <w:rPr>
          <w:b/>
          <w:bCs/>
          <w:caps/>
        </w:rPr>
        <w:t xml:space="preserve">Q. </w:t>
      </w:r>
      <w:r w:rsidRPr="00C4710D">
        <w:rPr>
          <w:b/>
          <w:bCs/>
          <w:caps/>
        </w:rPr>
        <w:tab/>
        <w:t xml:space="preserve">SOME intervenors RAISE VARIATIONS OF THE ARGUMENT THAT GEORGIA’S SOLAR MARKET is in “Jeopardy,” or that there has been unsteady renewable development in </w:t>
      </w:r>
      <w:r w:rsidR="00E33943" w:rsidRPr="00C4710D">
        <w:rPr>
          <w:b/>
          <w:bCs/>
          <w:caps/>
        </w:rPr>
        <w:t>THE STATE</w:t>
      </w:r>
      <w:r w:rsidRPr="00C4710D">
        <w:rPr>
          <w:b/>
          <w:bCs/>
          <w:caps/>
        </w:rPr>
        <w:t xml:space="preserve">. DOES THE COMPANY find any evidence to support THESE ALARMIST CLAIMS? </w:t>
      </w:r>
    </w:p>
    <w:p w14:paraId="52CE8272" w14:textId="3A847FD6" w:rsidR="008629C9" w:rsidRPr="00C4710D" w:rsidRDefault="008629C9" w:rsidP="008629C9">
      <w:pPr>
        <w:ind w:left="720" w:hanging="720"/>
      </w:pPr>
      <w:r w:rsidRPr="00C4710D">
        <w:t xml:space="preserve">A. </w:t>
      </w:r>
      <w:r w:rsidRPr="00C4710D">
        <w:tab/>
        <w:t>No. These claims are baseless and ignore the many successful procurement programs administered by Georgia Power under this Commission’s guidance</w:t>
      </w:r>
      <w:r w:rsidR="0043440B" w:rsidRPr="00C4710D">
        <w:t xml:space="preserve">. These programs have garnered </w:t>
      </w:r>
      <w:r w:rsidRPr="00C4710D">
        <w:t>considerable participation</w:t>
      </w:r>
      <w:r w:rsidR="0043440B" w:rsidRPr="00C4710D">
        <w:t>,</w:t>
      </w:r>
      <w:r w:rsidRPr="00C4710D">
        <w:t xml:space="preserve"> </w:t>
      </w:r>
      <w:r w:rsidR="0043440B" w:rsidRPr="00C4710D">
        <w:t xml:space="preserve">including </w:t>
      </w:r>
      <w:r w:rsidRPr="00C4710D">
        <w:t xml:space="preserve">by many of the </w:t>
      </w:r>
      <w:r w:rsidR="009F2F5C" w:rsidRPr="00C4710D">
        <w:t>intervenor</w:t>
      </w:r>
      <w:r w:rsidRPr="00C4710D">
        <w:t xml:space="preserve">s in this docket. The results speak for themselves and have established this state as a national leader in renewable energy procurement, particularly from solar generation. In fact, the GIPL-S-VS </w:t>
      </w:r>
      <w:r w:rsidR="009F2F5C" w:rsidRPr="00C4710D">
        <w:t xml:space="preserve">rebuttal testimony </w:t>
      </w:r>
      <w:r w:rsidRPr="00C4710D">
        <w:t xml:space="preserve">Figure </w:t>
      </w:r>
      <w:r w:rsidR="004F1BA8" w:rsidRPr="00C4710D">
        <w:t>3</w:t>
      </w:r>
      <w:r w:rsidR="00D34B2F" w:rsidRPr="00C4710D">
        <w:t>,</w:t>
      </w:r>
      <w:r w:rsidR="004F1BA8" w:rsidRPr="00C4710D">
        <w:t xml:space="preserve"> claimed by Witnesses </w:t>
      </w:r>
      <w:r w:rsidRPr="00C4710D">
        <w:t xml:space="preserve">Dr. </w:t>
      </w:r>
      <w:r w:rsidR="001F12EA" w:rsidRPr="00C4710D">
        <w:t xml:space="preserve">Matt </w:t>
      </w:r>
      <w:r w:rsidRPr="00C4710D">
        <w:t xml:space="preserve">Cox and Mr. </w:t>
      </w:r>
      <w:r w:rsidR="001F12EA" w:rsidRPr="00C4710D">
        <w:t xml:space="preserve">Douglas </w:t>
      </w:r>
      <w:r w:rsidRPr="00C4710D">
        <w:t xml:space="preserve">Jester as showing “boom-and-bust” development, shows just the opposite: continuous steady growth, especially in the last five years. </w:t>
      </w:r>
      <w:bookmarkStart w:id="14" w:name="_Hlk59435302"/>
      <w:r w:rsidR="006706E4" w:rsidRPr="00C4710D">
        <w:t xml:space="preserve">Given that the record clearly demonstrates robust market opportunities are available to developers, it appears these intervenors are primarily motivated to minimize competition and </w:t>
      </w:r>
      <w:r w:rsidR="007212BA" w:rsidRPr="00C4710D">
        <w:t xml:space="preserve">make </w:t>
      </w:r>
      <w:r w:rsidR="006706E4" w:rsidRPr="00C4710D">
        <w:t xml:space="preserve">additional above-market </w:t>
      </w:r>
      <w:r w:rsidR="007212BA" w:rsidRPr="00C4710D">
        <w:t>sales</w:t>
      </w:r>
      <w:r w:rsidR="006706E4" w:rsidRPr="00C4710D">
        <w:t xml:space="preserve"> at the expense of Georgia Power customers. This Commission should take pride in its forward-thinking PURPA implementation, which continues to offer a menu of options for QFs and provides fair compensation for developers in exchange for value received by our customers</w:t>
      </w:r>
      <w:r w:rsidR="008A77D5" w:rsidRPr="00C4710D">
        <w:t>.</w:t>
      </w:r>
      <w:bookmarkEnd w:id="14"/>
    </w:p>
    <w:p w14:paraId="576F3491" w14:textId="77777777" w:rsidR="008629C9" w:rsidRPr="00C4710D" w:rsidRDefault="008629C9" w:rsidP="008629C9">
      <w:pPr>
        <w:ind w:left="720" w:hanging="720"/>
      </w:pPr>
    </w:p>
    <w:p w14:paraId="37F6012D" w14:textId="00A37F63" w:rsidR="00B04ADB" w:rsidRPr="00C4710D" w:rsidRDefault="00B04ADB" w:rsidP="00B04ADB">
      <w:pPr>
        <w:ind w:left="720" w:hanging="720"/>
        <w:rPr>
          <w:b/>
          <w:bCs/>
        </w:rPr>
      </w:pPr>
      <w:r w:rsidRPr="00C4710D">
        <w:rPr>
          <w:b/>
          <w:bCs/>
        </w:rPr>
        <w:t xml:space="preserve">Q. </w:t>
      </w:r>
      <w:r w:rsidRPr="00C4710D">
        <w:rPr>
          <w:b/>
          <w:bCs/>
        </w:rPr>
        <w:tab/>
        <w:t>DOES ROBUST PARTICIPATION IN THE COMPANY’S OTHER RENEWABLE PROGRAMS MEAN</w:t>
      </w:r>
      <w:r w:rsidR="00AC75E9" w:rsidRPr="00C4710D">
        <w:rPr>
          <w:b/>
          <w:bCs/>
        </w:rPr>
        <w:t xml:space="preserve"> </w:t>
      </w:r>
      <w:r w:rsidRPr="00C4710D">
        <w:rPr>
          <w:b/>
          <w:bCs/>
        </w:rPr>
        <w:t>THAT THE PURPA PROGRAM</w:t>
      </w:r>
      <w:r w:rsidR="00126BEC" w:rsidRPr="00C4710D">
        <w:rPr>
          <w:b/>
          <w:bCs/>
        </w:rPr>
        <w:t>S</w:t>
      </w:r>
      <w:r w:rsidR="00D7249F" w:rsidRPr="00C4710D">
        <w:rPr>
          <w:b/>
          <w:bCs/>
        </w:rPr>
        <w:t xml:space="preserve"> AND CONTRACTS</w:t>
      </w:r>
      <w:r w:rsidRPr="00C4710D">
        <w:rPr>
          <w:b/>
          <w:bCs/>
        </w:rPr>
        <w:t xml:space="preserve"> ARE NOT “WORKING TO FULFILL PURPA’S PURPOSE OF ENCOURAGING QF DEVELOPMENT” AS ALLEGED BY </w:t>
      </w:r>
      <w:r w:rsidR="001F12EA" w:rsidRPr="00C4710D">
        <w:rPr>
          <w:b/>
          <w:bCs/>
        </w:rPr>
        <w:t xml:space="preserve">GIPL-S-VS WITNESSES </w:t>
      </w:r>
      <w:r w:rsidRPr="00C4710D">
        <w:rPr>
          <w:b/>
          <w:bCs/>
        </w:rPr>
        <w:t xml:space="preserve">COX AND JESTER? </w:t>
      </w:r>
    </w:p>
    <w:p w14:paraId="25986367" w14:textId="6748D29E" w:rsidR="008629C9" w:rsidRPr="00C4710D" w:rsidRDefault="008629C9" w:rsidP="008629C9">
      <w:pPr>
        <w:ind w:left="720" w:hanging="720"/>
      </w:pPr>
      <w:r w:rsidRPr="00C4710D">
        <w:t>A.</w:t>
      </w:r>
      <w:r w:rsidR="002973E4" w:rsidRPr="00C4710D">
        <w:t xml:space="preserve"> </w:t>
      </w:r>
      <w:r w:rsidRPr="00C4710D">
        <w:tab/>
      </w:r>
      <w:r w:rsidR="00B53835" w:rsidRPr="00C4710D">
        <w:t xml:space="preserve">No, in fact the opposite is true. This Commission encourages QF development by offering an extensive menu of contract options for a QF to choose from, and as a result, Georgia is one of the most vibrant markets for renewable generators in the country, with over 3,100 individual QFs under contract. That a significant number of QFs choose to participate in other Georgia Power procurements is no indictment on the PURPA programs, but instead a testament to this Commission’s responsiveness to market requests similar to those heard in this docket. Witnesses Cox and Jester misunderstand the purpose of the pro forma QF Standard Offer Contracts available to a QF—these pro forma PPAs were created not only </w:t>
      </w:r>
      <w:r w:rsidR="004E299C" w:rsidRPr="00C4710D">
        <w:t xml:space="preserve">to </w:t>
      </w:r>
      <w:r w:rsidR="00B53835" w:rsidRPr="00C4710D">
        <w:t>comply with the uncapped, must-take requirements of PURPA, which they do, but also to protect Georgia Power customers from upward rate pressure, as required by FERC regulations and this Commission’s orders.</w:t>
      </w:r>
      <w:r w:rsidR="002973E4" w:rsidRPr="00C4710D">
        <w:t xml:space="preserve"> </w:t>
      </w:r>
      <w:r w:rsidR="00B53835" w:rsidRPr="00C4710D">
        <w:t>Many interven</w:t>
      </w:r>
      <w:r w:rsidR="00130786" w:rsidRPr="00C4710D">
        <w:t>o</w:t>
      </w:r>
      <w:r w:rsidR="00B53835" w:rsidRPr="00C4710D">
        <w:t xml:space="preserve">rs ignore the obvious: that this Commission has proactively offered programs for renewable generators that provide many of the contractual elements valued by QFs (like fixed pricing and recognition of capacity value), creating benefits for a participating QF by providing multiple options to participate in the program that best meets its needs. There is no requirement in PURPA that every QF offering be structured to ensure financing or </w:t>
      </w:r>
      <w:r w:rsidR="00130786" w:rsidRPr="00C4710D">
        <w:t xml:space="preserve">robust </w:t>
      </w:r>
      <w:r w:rsidR="00B53835" w:rsidRPr="00C4710D">
        <w:t>participation, nor that every generation project ever conceived be offered a contract that guarantees financial viability. It would be a disservice to our customers, and a violation of PURPA, to prop up higher cost renewable projects by changing the terms of our pro forma QF Standard Offer Contracts that are always available (must-take) to any QF (uncapped number) desiring to sell output to Georgia Power. The suggestion that a PURPA program is deficient because of robust QF participation in other renewable programs is objectively wrong and should be rejected</w:t>
      </w:r>
      <w:r w:rsidR="00171A57" w:rsidRPr="00C4710D">
        <w:t>.</w:t>
      </w:r>
    </w:p>
    <w:p w14:paraId="622A207C" w14:textId="77777777" w:rsidR="008629C9" w:rsidRPr="00C4710D" w:rsidRDefault="008629C9" w:rsidP="008629C9">
      <w:pPr>
        <w:rPr>
          <w:caps/>
        </w:rPr>
      </w:pPr>
    </w:p>
    <w:p w14:paraId="052D2C7D" w14:textId="04F3AB52" w:rsidR="008629C9" w:rsidRPr="00C4710D" w:rsidRDefault="008629C9" w:rsidP="008629C9">
      <w:pPr>
        <w:pStyle w:val="Heading2"/>
      </w:pPr>
      <w:bookmarkStart w:id="15" w:name="_Toc58467609"/>
      <w:bookmarkStart w:id="16" w:name="_Toc59531751"/>
      <w:r w:rsidRPr="00C4710D">
        <w:t>Transparency</w:t>
      </w:r>
      <w:bookmarkEnd w:id="15"/>
      <w:bookmarkEnd w:id="16"/>
    </w:p>
    <w:p w14:paraId="3110590E" w14:textId="77777777" w:rsidR="008629C9" w:rsidRPr="00C4710D" w:rsidRDefault="008629C9" w:rsidP="008629C9">
      <w:pPr>
        <w:pStyle w:val="CommentText"/>
      </w:pPr>
    </w:p>
    <w:p w14:paraId="5B3536EA" w14:textId="5CC68455" w:rsidR="008629C9" w:rsidRPr="00C4710D" w:rsidRDefault="008629C9" w:rsidP="008629C9">
      <w:pPr>
        <w:ind w:left="720" w:hanging="720"/>
        <w:rPr>
          <w:b/>
          <w:bCs/>
        </w:rPr>
      </w:pPr>
      <w:r w:rsidRPr="00C4710D">
        <w:rPr>
          <w:b/>
          <w:bCs/>
        </w:rPr>
        <w:t xml:space="preserve">Q. </w:t>
      </w:r>
      <w:r w:rsidRPr="00C4710D">
        <w:rPr>
          <w:b/>
          <w:bCs/>
        </w:rPr>
        <w:tab/>
        <w:t>STAFF ARGUES</w:t>
      </w:r>
      <w:r w:rsidR="00DD7C1F" w:rsidRPr="00C4710D">
        <w:rPr>
          <w:b/>
          <w:bCs/>
        </w:rPr>
        <w:t xml:space="preserve"> THAT</w:t>
      </w:r>
      <w:r w:rsidRPr="00C4710D">
        <w:rPr>
          <w:b/>
          <w:bCs/>
        </w:rPr>
        <w:t xml:space="preserve"> </w:t>
      </w:r>
      <w:r w:rsidRPr="00C4710D">
        <w:rPr>
          <w:b/>
          <w:bCs/>
          <w:caps/>
        </w:rPr>
        <w:t>“Every effort should be made” to make RCB</w:t>
      </w:r>
      <w:r w:rsidR="00E06B9D" w:rsidRPr="00C4710D">
        <w:rPr>
          <w:b/>
          <w:bCs/>
          <w:caps/>
        </w:rPr>
        <w:t xml:space="preserve"> FRAMEwork</w:t>
      </w:r>
      <w:r w:rsidRPr="00C4710D">
        <w:rPr>
          <w:b/>
          <w:bCs/>
          <w:caps/>
        </w:rPr>
        <w:t>-RELATED assumption</w:t>
      </w:r>
      <w:r w:rsidR="00842293" w:rsidRPr="00C4710D">
        <w:rPr>
          <w:b/>
          <w:bCs/>
          <w:caps/>
        </w:rPr>
        <w:t>s</w:t>
      </w:r>
      <w:r w:rsidRPr="00C4710D">
        <w:rPr>
          <w:b/>
          <w:bCs/>
          <w:caps/>
        </w:rPr>
        <w:t xml:space="preserve"> and modeling technique</w:t>
      </w:r>
      <w:r w:rsidR="00842293" w:rsidRPr="00C4710D">
        <w:rPr>
          <w:b/>
          <w:bCs/>
          <w:caps/>
        </w:rPr>
        <w:t>s</w:t>
      </w:r>
      <w:r w:rsidRPr="00C4710D">
        <w:rPr>
          <w:b/>
          <w:bCs/>
          <w:caps/>
        </w:rPr>
        <w:t xml:space="preserve"> transparent “unless the Company can fully explain how the exposure of specific information will harm customers.</w:t>
      </w:r>
      <w:r w:rsidRPr="00C4710D">
        <w:rPr>
          <w:b/>
          <w:bCs/>
        </w:rPr>
        <w:t>” PLEASE EXPLAIN WHAT INFORMATION THE COMPANY IS CONCERNED ABOUT RELEASING AND HOW SUCH RELEASE MAY HARM CUSTOMERS.</w:t>
      </w:r>
    </w:p>
    <w:p w14:paraId="5E43DFB3" w14:textId="1397083F" w:rsidR="00EF305D" w:rsidRPr="00C4710D" w:rsidRDefault="00EF305D" w:rsidP="00552939">
      <w:pPr>
        <w:ind w:left="720" w:hanging="720"/>
      </w:pPr>
      <w:r w:rsidRPr="00C4710D">
        <w:t xml:space="preserve">A. </w:t>
      </w:r>
      <w:r w:rsidRPr="00C4710D">
        <w:tab/>
        <w:t>The Company is most sensitive to disclosing numerical values and trade secret information that can be used by bidders participating in our competitive solicitations—many of which are represented by intervening parties in this docket. Releasing price-related information</w:t>
      </w:r>
      <w:r w:rsidR="00E75A7E" w:rsidRPr="00C4710D">
        <w:t>,</w:t>
      </w:r>
      <w:r w:rsidRPr="00C4710D">
        <w:t xml:space="preserve"> in particular</w:t>
      </w:r>
      <w:r w:rsidR="00E75A7E" w:rsidRPr="00C4710D">
        <w:t>,</w:t>
      </w:r>
      <w:r w:rsidRPr="00C4710D">
        <w:t xml:space="preserve"> heightens the risk that the overall pool of solicitation participants will offer higher priced bids, to the detriment of competition and customers. For example, a developer would have less incentive to submit its lowest and most competitive bid if newly accessible pricing information revealed avoided cost ceiling prices, and thus, a greater opportunity for profit-making for bidders, at the expense of Georgia Power customers. Considering that </w:t>
      </w:r>
      <w:r w:rsidR="00DD1948" w:rsidRPr="00C4710D">
        <w:t>a request for proposal</w:t>
      </w:r>
      <w:r w:rsidR="00F35AA4" w:rsidRPr="00C4710D">
        <w:t>s</w:t>
      </w:r>
      <w:r w:rsidRPr="00C4710D">
        <w:t xml:space="preserve"> (“RFP”) can establish the price paid to generators for decades, resulting in PPAs worth hundreds of millions of dollars, the overall risks to customers are significant. In addition, there is also no reasonable and fair way to restrict access to this pricing information, including, for example, to Southern Company’s unregulated affiliate that is permitted to bid into the Company RFPs pursuant to this Commission’s FERC-compliant</w:t>
      </w:r>
      <w:r w:rsidR="00E71862" w:rsidRPr="00C4710D">
        <w:t xml:space="preserve"> </w:t>
      </w:r>
      <w:r w:rsidR="00965C96" w:rsidRPr="00C4710D">
        <w:t>IRP process (“IRP Rule”)</w:t>
      </w:r>
      <w:r w:rsidR="00965C96" w:rsidRPr="00C4710D">
        <w:rPr>
          <w:rStyle w:val="FootnoteReference"/>
        </w:rPr>
        <w:footnoteReference w:id="2"/>
      </w:r>
      <w:r w:rsidR="00552939" w:rsidRPr="00C4710D">
        <w:t xml:space="preserve"> and</w:t>
      </w:r>
      <w:r w:rsidR="002973E4" w:rsidRPr="00C4710D">
        <w:t xml:space="preserve"> </w:t>
      </w:r>
      <w:r w:rsidR="00552939" w:rsidRPr="00C4710D">
        <w:t xml:space="preserve">its rules </w:t>
      </w:r>
      <w:r w:rsidR="00E71862" w:rsidRPr="00C4710D">
        <w:t xml:space="preserve">governing any RFP (the “RFP </w:t>
      </w:r>
      <w:r w:rsidRPr="00C4710D">
        <w:t>Rule</w:t>
      </w:r>
      <w:r w:rsidR="00E71862" w:rsidRPr="00C4710D">
        <w:t>”)</w:t>
      </w:r>
      <w:r w:rsidRPr="00C4710D">
        <w:t>.</w:t>
      </w:r>
      <w:r w:rsidRPr="00C4710D">
        <w:rPr>
          <w:rStyle w:val="FootnoteReference"/>
        </w:rPr>
        <w:footnoteReference w:id="3"/>
      </w:r>
      <w:r w:rsidR="002973E4" w:rsidRPr="00C4710D">
        <w:t xml:space="preserve"> </w:t>
      </w:r>
    </w:p>
    <w:p w14:paraId="79D100AF" w14:textId="77777777" w:rsidR="00293802" w:rsidRPr="00C4710D" w:rsidRDefault="00293802" w:rsidP="00293802">
      <w:pPr>
        <w:ind w:left="720" w:hanging="720"/>
      </w:pPr>
    </w:p>
    <w:p w14:paraId="3614AD34" w14:textId="24240924" w:rsidR="008629C9" w:rsidRPr="00C4710D" w:rsidRDefault="008629C9" w:rsidP="008629C9">
      <w:pPr>
        <w:ind w:left="720" w:hanging="720"/>
        <w:rPr>
          <w:b/>
          <w:bCs/>
        </w:rPr>
      </w:pPr>
      <w:r w:rsidRPr="00C4710D">
        <w:rPr>
          <w:b/>
          <w:bCs/>
        </w:rPr>
        <w:t>Q.</w:t>
      </w:r>
      <w:r w:rsidRPr="00C4710D">
        <w:rPr>
          <w:b/>
          <w:bCs/>
        </w:rPr>
        <w:tab/>
      </w:r>
      <w:r w:rsidR="000F09C8" w:rsidRPr="00C4710D">
        <w:rPr>
          <w:b/>
          <w:bCs/>
        </w:rPr>
        <w:t>IF THE GOAL IS TO PROTECT COMPETITION AND CUSTOMERS, WHICH PARTY IN THIS PROCEEDING, IN ADDITION TO THE COMPANY, IS IN THE BEST POSITION TO ACHIEVE THAT GOAL? IS IT INTERVENORS, WHO LARGELY REPRESENT ENTITIES THAT BID INTO GEORGIA POWER RENEWABLE SOLICITATIONS?</w:t>
      </w:r>
    </w:p>
    <w:p w14:paraId="5245696C" w14:textId="4020DDBE" w:rsidR="008629C9" w:rsidRPr="00C4710D" w:rsidRDefault="008629C9" w:rsidP="008629C9">
      <w:pPr>
        <w:ind w:left="720" w:hanging="720"/>
      </w:pPr>
      <w:r w:rsidRPr="00C4710D">
        <w:t xml:space="preserve">A. </w:t>
      </w:r>
      <w:r w:rsidRPr="00C4710D">
        <w:tab/>
        <w:t xml:space="preserve">No, the proper authority to review and approve avoided cost methodologies and calculations is the Georgia Public Service Commission. Third-party developers are clearly motivated to obtain as much pricing information as possible, but Staff is the only appropriate and objective </w:t>
      </w:r>
      <w:r w:rsidR="00B760F6" w:rsidRPr="00C4710D">
        <w:t xml:space="preserve">party </w:t>
      </w:r>
      <w:r w:rsidRPr="00C4710D">
        <w:t xml:space="preserve">to review this </w:t>
      </w:r>
      <w:r w:rsidR="00472D60" w:rsidRPr="00C4710D">
        <w:t>sensitive information in a way that ensures that resources can be competitively procured without harm to customers.</w:t>
      </w:r>
    </w:p>
    <w:p w14:paraId="4BEA43A7" w14:textId="77777777" w:rsidR="008629C9" w:rsidRPr="00C4710D" w:rsidRDefault="008629C9" w:rsidP="008629C9"/>
    <w:p w14:paraId="75323B53" w14:textId="218EEEB3" w:rsidR="008629C9" w:rsidRPr="00C4710D" w:rsidRDefault="008629C9" w:rsidP="008629C9">
      <w:pPr>
        <w:ind w:left="720" w:hanging="720"/>
        <w:rPr>
          <w:b/>
          <w:bCs/>
        </w:rPr>
      </w:pPr>
      <w:r w:rsidRPr="00C4710D">
        <w:rPr>
          <w:b/>
          <w:bCs/>
        </w:rPr>
        <w:t xml:space="preserve">Q. </w:t>
      </w:r>
      <w:r w:rsidRPr="00C4710D">
        <w:rPr>
          <w:b/>
          <w:bCs/>
        </w:rPr>
        <w:tab/>
        <w:t>SEPARATELY, STAFF’S POSITION IS THAT OFFERING AVOIDED ENERGY PROJECTIONS OF UP TO 30</w:t>
      </w:r>
      <w:r w:rsidR="00911310" w:rsidRPr="00C4710D">
        <w:rPr>
          <w:b/>
          <w:bCs/>
        </w:rPr>
        <w:t>-</w:t>
      </w:r>
      <w:r w:rsidRPr="00C4710D">
        <w:rPr>
          <w:b/>
          <w:bCs/>
        </w:rPr>
        <w:t xml:space="preserve">YEARS WOULD AID PROJECTS “IN DETERMINING THE FINANCIAL VIABILITY OF SUCH PROJECTS.” IS THIS REQUIRED BY PURPA OR FERC’S REGULATIONS? </w:t>
      </w:r>
    </w:p>
    <w:p w14:paraId="2C7F7EFC" w14:textId="157F8305" w:rsidR="00CD11FF" w:rsidRPr="00C4710D" w:rsidRDefault="00CD11FF" w:rsidP="00CD11FF">
      <w:pPr>
        <w:ind w:left="720" w:hanging="720"/>
      </w:pPr>
      <w:r w:rsidRPr="00C4710D">
        <w:t>A.</w:t>
      </w:r>
      <w:r w:rsidR="002973E4" w:rsidRPr="00C4710D">
        <w:t xml:space="preserve"> </w:t>
      </w:r>
      <w:r w:rsidRPr="00C4710D">
        <w:tab/>
        <w:t xml:space="preserve">No. </w:t>
      </w:r>
      <w:r w:rsidR="00241F27" w:rsidRPr="00C4710D">
        <w:t>Thirty</w:t>
      </w:r>
      <w:r w:rsidRPr="00C4710D">
        <w:t xml:space="preserve"> years is significantly greater than the projections required </w:t>
      </w:r>
      <w:r w:rsidR="00AE1D2E" w:rsidRPr="00C4710D">
        <w:t>by</w:t>
      </w:r>
      <w:r w:rsidRPr="00C4710D">
        <w:t xml:space="preserve"> PURPA. Under FERC’s PURPA regulations, every two years, utilities must submit projections for 10 years’ worth of avoided capacity purchases and 5 years’ worth of avoided energy projections. Avoided energy and capacity projections are inherently imperfect the f</w:t>
      </w:r>
      <w:r w:rsidR="00CB75E3" w:rsidRPr="00C4710D">
        <w:t>u</w:t>
      </w:r>
      <w:r w:rsidRPr="00C4710D">
        <w:t>rther out in time they go. So, for a QF considering a PPA under which it will get paid day-ahead prices, longer projections provide little additional certainty. As stated in our rebuttal testimony, customers are most at risk from longer and more detailed projections, and FERC has acknowledged, in the context of discussing fixed avoided energy payments, that overestimates and underestimates of energy costs have not always balanced out. It is also notable that in the two instances in which FERC revisited its PURPA regulations this year, it has not found it necessary to update its longstanding avoided energy and capacity cost projection filing requirements.</w:t>
      </w:r>
      <w:r w:rsidR="002973E4" w:rsidRPr="00C4710D">
        <w:t xml:space="preserve"> </w:t>
      </w:r>
    </w:p>
    <w:p w14:paraId="69A474C9" w14:textId="77777777" w:rsidR="008629C9" w:rsidRPr="00C4710D" w:rsidRDefault="008629C9" w:rsidP="008629C9"/>
    <w:p w14:paraId="364CA86E" w14:textId="237ED860" w:rsidR="000863DF" w:rsidRPr="00C4710D" w:rsidRDefault="00D66935" w:rsidP="000863DF">
      <w:pPr>
        <w:pStyle w:val="Heading1"/>
        <w:jc w:val="center"/>
        <w:rPr>
          <w:rFonts w:cs="Times New Roman"/>
          <w:szCs w:val="24"/>
          <w:u w:val="single"/>
        </w:rPr>
      </w:pPr>
      <w:bookmarkStart w:id="17" w:name="_Toc59531752"/>
      <w:r w:rsidRPr="00C4710D">
        <w:rPr>
          <w:rFonts w:cs="Times New Roman"/>
          <w:szCs w:val="24"/>
          <w:u w:val="single"/>
        </w:rPr>
        <w:t>AVOIDED ENERGY COST ISSUES</w:t>
      </w:r>
      <w:bookmarkEnd w:id="9"/>
      <w:bookmarkEnd w:id="10"/>
      <w:bookmarkEnd w:id="13"/>
      <w:bookmarkEnd w:id="17"/>
    </w:p>
    <w:p w14:paraId="35E64453" w14:textId="77777777" w:rsidR="000863DF" w:rsidRPr="00C4710D" w:rsidRDefault="000863DF" w:rsidP="000863DF"/>
    <w:p w14:paraId="6E3AA9A8" w14:textId="77777777" w:rsidR="00696525" w:rsidRPr="00C4710D" w:rsidRDefault="00696525" w:rsidP="00696525">
      <w:pPr>
        <w:pStyle w:val="Heading2"/>
        <w:ind w:left="1440" w:hanging="720"/>
        <w:rPr>
          <w:rFonts w:cs="Times New Roman"/>
          <w:szCs w:val="24"/>
        </w:rPr>
      </w:pPr>
      <w:bookmarkStart w:id="18" w:name="_Toc59531753"/>
      <w:bookmarkStart w:id="19" w:name="_Toc58467586"/>
      <w:bookmarkStart w:id="20" w:name="_Toc58467592"/>
      <w:r w:rsidRPr="00C4710D">
        <w:rPr>
          <w:rFonts w:cs="Times New Roman"/>
          <w:szCs w:val="24"/>
        </w:rPr>
        <w:t>Avoided Energy Cost Formula</w:t>
      </w:r>
      <w:bookmarkEnd w:id="18"/>
      <w:r w:rsidRPr="00C4710D">
        <w:rPr>
          <w:rFonts w:cs="Times New Roman"/>
          <w:szCs w:val="24"/>
        </w:rPr>
        <w:t xml:space="preserve"> </w:t>
      </w:r>
      <w:bookmarkEnd w:id="19"/>
    </w:p>
    <w:p w14:paraId="5B8B8113" w14:textId="77777777" w:rsidR="00696525" w:rsidRPr="00C4710D" w:rsidRDefault="00696525" w:rsidP="00696525"/>
    <w:p w14:paraId="11E3973D" w14:textId="77777777" w:rsidR="00696525" w:rsidRPr="00C4710D" w:rsidRDefault="00696525" w:rsidP="00696525">
      <w:pPr>
        <w:pStyle w:val="Heading3"/>
      </w:pPr>
      <w:bookmarkStart w:id="21" w:name="_Toc58467587"/>
      <w:bookmarkStart w:id="22" w:name="_Hlk59181220"/>
      <w:r w:rsidRPr="00C4710D">
        <w:t>Generally</w:t>
      </w:r>
      <w:bookmarkEnd w:id="21"/>
    </w:p>
    <w:p w14:paraId="632DB0C3" w14:textId="77777777" w:rsidR="00696525" w:rsidRPr="00C4710D" w:rsidRDefault="00696525" w:rsidP="00696525"/>
    <w:p w14:paraId="6AE30C1E" w14:textId="1E205C3D" w:rsidR="00696525" w:rsidRPr="00C4710D" w:rsidRDefault="00696525" w:rsidP="00696525">
      <w:pPr>
        <w:ind w:left="720" w:hanging="720"/>
        <w:rPr>
          <w:b/>
          <w:bCs/>
        </w:rPr>
      </w:pPr>
      <w:r w:rsidRPr="00C4710D">
        <w:rPr>
          <w:b/>
          <w:bCs/>
        </w:rPr>
        <w:t xml:space="preserve">Q. </w:t>
      </w:r>
      <w:r w:rsidRPr="00C4710D">
        <w:rPr>
          <w:b/>
          <w:bCs/>
        </w:rPr>
        <w:tab/>
        <w:t>VARIOUS INTERVENORS, INCLUDING GLSSA</w:t>
      </w:r>
      <w:r w:rsidR="003C27EC" w:rsidRPr="00C4710D">
        <w:rPr>
          <w:b/>
          <w:bCs/>
        </w:rPr>
        <w:t xml:space="preserve"> WITNESS</w:t>
      </w:r>
      <w:r w:rsidRPr="00C4710D">
        <w:rPr>
          <w:b/>
          <w:bCs/>
        </w:rPr>
        <w:t xml:space="preserve"> </w:t>
      </w:r>
      <w:r w:rsidR="001111C6" w:rsidRPr="00C4710D">
        <w:rPr>
          <w:b/>
          <w:bCs/>
        </w:rPr>
        <w:t>MR.</w:t>
      </w:r>
      <w:r w:rsidRPr="00C4710D">
        <w:rPr>
          <w:b/>
          <w:bCs/>
        </w:rPr>
        <w:t xml:space="preserve"> </w:t>
      </w:r>
      <w:r w:rsidR="001F12EA" w:rsidRPr="00C4710D">
        <w:rPr>
          <w:b/>
          <w:bCs/>
        </w:rPr>
        <w:t xml:space="preserve">JOHN </w:t>
      </w:r>
      <w:r w:rsidRPr="00C4710D">
        <w:rPr>
          <w:b/>
          <w:bCs/>
        </w:rPr>
        <w:t xml:space="preserve">WILSON AND SIERRA CLUB WITNESS </w:t>
      </w:r>
      <w:r w:rsidR="00E07423" w:rsidRPr="00C4710D">
        <w:rPr>
          <w:b/>
          <w:bCs/>
        </w:rPr>
        <w:t>DR.</w:t>
      </w:r>
      <w:r w:rsidRPr="00C4710D">
        <w:rPr>
          <w:b/>
          <w:bCs/>
        </w:rPr>
        <w:t xml:space="preserve"> </w:t>
      </w:r>
      <w:r w:rsidR="001F12EA" w:rsidRPr="00C4710D">
        <w:rPr>
          <w:b/>
          <w:bCs/>
        </w:rPr>
        <w:t xml:space="preserve">JEREMY </w:t>
      </w:r>
      <w:r w:rsidRPr="00C4710D">
        <w:rPr>
          <w:b/>
          <w:bCs/>
        </w:rPr>
        <w:t xml:space="preserve">FISHER, ALLEGE THAT THE COMPANY IS NOT CORRECTLY APPLYING THE AVOIDED COST METHODOLOGIES ESTABLISHED IN THE COMMISSION’S 1994 FINAL ORDER IN DOCKET 4822. WHAT IS YOUR RESPONSE? </w:t>
      </w:r>
    </w:p>
    <w:p w14:paraId="67D7A609" w14:textId="42537532" w:rsidR="003A24BA" w:rsidRPr="00C4710D" w:rsidRDefault="00696525" w:rsidP="003A24BA">
      <w:pPr>
        <w:ind w:left="720" w:hanging="720"/>
      </w:pPr>
      <w:r w:rsidRPr="00C4710D">
        <w:t xml:space="preserve">A. </w:t>
      </w:r>
      <w:r w:rsidRPr="00C4710D">
        <w:tab/>
        <w:t xml:space="preserve">The Company is absolutely applying avoided cost methodologies correctly and in compliance </w:t>
      </w:r>
      <w:r w:rsidR="00293802" w:rsidRPr="00C4710D">
        <w:t>with this Commission’s orders</w:t>
      </w:r>
      <w:r w:rsidRPr="00C4710D">
        <w:t xml:space="preserve">. </w:t>
      </w:r>
      <w:bookmarkStart w:id="23" w:name="_Hlk59188029"/>
      <w:r w:rsidR="003A24BA" w:rsidRPr="00C4710D">
        <w:t xml:space="preserve">The Company has provided ample evidence in response to numerous data </w:t>
      </w:r>
      <w:r w:rsidR="00740E14" w:rsidRPr="00C4710D">
        <w:t xml:space="preserve">requests </w:t>
      </w:r>
      <w:r w:rsidR="003A24BA" w:rsidRPr="00C4710D">
        <w:t xml:space="preserve">in this docket confirming that the Company is indeed correctly applying the avoided cost methodology established in Docket No. 4822. Specifically, the Company’s response to STF-4-1 contains the workpapers supporting Georgia Power’s 2020 Avoided Cost filing and as such, provides an overview of the data inputs as well as the models and methodologies utilized in developing the avoided costs. Details regarding the determination of actual QF compensation under Docket No. 4822 can be found in the Company’s responses to STF-4-6, STF-4-7, and STF-5-4. </w:t>
      </w:r>
      <w:bookmarkEnd w:id="23"/>
    </w:p>
    <w:p w14:paraId="07863BB8" w14:textId="77777777" w:rsidR="00696525" w:rsidRPr="00C4710D" w:rsidRDefault="00696525" w:rsidP="00696525">
      <w:pPr>
        <w:ind w:left="360" w:firstLine="360"/>
      </w:pPr>
    </w:p>
    <w:p w14:paraId="43ADB28C" w14:textId="31B20F95" w:rsidR="00696525" w:rsidRPr="00C4710D" w:rsidRDefault="00696525" w:rsidP="00696525">
      <w:pPr>
        <w:ind w:left="720"/>
      </w:pPr>
      <w:r w:rsidRPr="00C4710D">
        <w:t xml:space="preserve">Details regarding the application of the Fuel Cost Multiplier can be found in the Company’s responses to STF-6-11 and STF-8-2, while explanations as to why the Marginal Cost Multiplier is appropriately </w:t>
      </w:r>
      <w:r w:rsidR="00F837E8" w:rsidRPr="00C4710D">
        <w:t xml:space="preserve">set at 1.0 are discussed </w:t>
      </w:r>
      <w:r w:rsidRPr="00C4710D">
        <w:t xml:space="preserve">in the Company’s responses to STF-7-15 and STF-8-1. Additional information related to the </w:t>
      </w:r>
      <w:r w:rsidR="00BB1C84" w:rsidRPr="00C4710D">
        <w:t>v</w:t>
      </w:r>
      <w:r w:rsidRPr="00C4710D">
        <w:t xml:space="preserve">ariable O&amp;M component adder is provided in the Company’s responses to STF-4-5 and STF-5-3, and additional information related to the </w:t>
      </w:r>
      <w:r w:rsidR="009F2679" w:rsidRPr="00C4710D">
        <w:t>e</w:t>
      </w:r>
      <w:r w:rsidRPr="00C4710D">
        <w:t>missions component adder is provided in the Company’s responses to STF-6-2 and 6-10. For information specifically related to the Company’s calculation of the commitment/start-up adder,</w:t>
      </w:r>
      <w:r w:rsidR="006A7C03" w:rsidRPr="00C4710D">
        <w:t xml:space="preserve"> </w:t>
      </w:r>
      <w:r w:rsidR="00FF72AF" w:rsidRPr="00C4710D">
        <w:t>please see STF-6-1, STF-6-9, and STF-10-4.</w:t>
      </w:r>
      <w:r w:rsidR="009A58ED" w:rsidRPr="00C4710D">
        <w:t xml:space="preserve"> </w:t>
      </w:r>
    </w:p>
    <w:p w14:paraId="79A7813E" w14:textId="77777777" w:rsidR="00696525" w:rsidRPr="00C4710D" w:rsidRDefault="00696525" w:rsidP="00696525">
      <w:pPr>
        <w:ind w:left="360" w:firstLine="360"/>
      </w:pPr>
    </w:p>
    <w:p w14:paraId="2A16264E" w14:textId="2B254EAD" w:rsidR="00696525" w:rsidRPr="00C4710D" w:rsidRDefault="007A3B7E" w:rsidP="00696525">
      <w:pPr>
        <w:ind w:left="720"/>
      </w:pPr>
      <w:r w:rsidRPr="00C4710D">
        <w:t xml:space="preserve">For documentation that the Company is appropriately including all variable costs related to natural gas procurement in its determination of avoided costs, please </w:t>
      </w:r>
      <w:r w:rsidR="005B3663" w:rsidRPr="00C4710D">
        <w:t>refer to</w:t>
      </w:r>
      <w:r w:rsidRPr="00C4710D">
        <w:t xml:space="preserve"> responses to STF-6-8, STF-10-1, STF-10-3, STF-11-1, and STF-11-6. For information describing the Company’s economic dispatch, please see its responses to STF-4-10, STF-8-3, STF-9-1, and STF-9-2. Lastly, further supporting information was provided in the Company’s rebuttal testimony to address the allegations put forth by Witnesses Cox</w:t>
      </w:r>
      <w:r w:rsidR="001F12EA" w:rsidRPr="00C4710D">
        <w:t>,</w:t>
      </w:r>
      <w:r w:rsidR="002973E4" w:rsidRPr="00C4710D">
        <w:t xml:space="preserve"> </w:t>
      </w:r>
      <w:r w:rsidRPr="00C4710D">
        <w:t>Jester</w:t>
      </w:r>
      <w:r w:rsidR="001F12EA" w:rsidRPr="00C4710D">
        <w:t>,</w:t>
      </w:r>
      <w:r w:rsidRPr="00C4710D">
        <w:t xml:space="preserve"> and Wilson in their direct testimony, and the Company responds to the allegations put forth in the rebuttal testimony of </w:t>
      </w:r>
      <w:r w:rsidR="001F12EA" w:rsidRPr="00C4710D">
        <w:t xml:space="preserve">Sierra Club </w:t>
      </w:r>
      <w:r w:rsidRPr="00C4710D">
        <w:t>Witness Fisher in this surrebuttal testimony</w:t>
      </w:r>
      <w:r w:rsidR="00696525" w:rsidRPr="00C4710D">
        <w:t>.</w:t>
      </w:r>
    </w:p>
    <w:bookmarkEnd w:id="22"/>
    <w:p w14:paraId="2CB6978A" w14:textId="77777777" w:rsidR="00696525" w:rsidRPr="00C4710D" w:rsidRDefault="00696525" w:rsidP="00696525">
      <w:pPr>
        <w:pStyle w:val="ListParagraph"/>
      </w:pPr>
    </w:p>
    <w:p w14:paraId="73E05CFA" w14:textId="44577F80" w:rsidR="00696525" w:rsidRPr="00C4710D" w:rsidRDefault="00696525" w:rsidP="00696525">
      <w:pPr>
        <w:pStyle w:val="Heading3"/>
      </w:pPr>
      <w:bookmarkStart w:id="24" w:name="_Toc58467589"/>
      <w:r w:rsidRPr="00C4710D">
        <w:t>Fuel Cost Multiplier</w:t>
      </w:r>
      <w:bookmarkEnd w:id="24"/>
    </w:p>
    <w:p w14:paraId="015BC67B" w14:textId="77777777" w:rsidR="00696525" w:rsidRPr="00C4710D" w:rsidRDefault="00696525" w:rsidP="00696525">
      <w:pPr>
        <w:rPr>
          <w:b/>
          <w:bCs/>
          <w:caps/>
          <w:color w:val="FF0000"/>
        </w:rPr>
      </w:pPr>
    </w:p>
    <w:p w14:paraId="725ADA89" w14:textId="77777777" w:rsidR="009E6334" w:rsidRPr="00C4710D" w:rsidRDefault="009E6334" w:rsidP="009E6334">
      <w:pPr>
        <w:ind w:left="720" w:hanging="720"/>
        <w:rPr>
          <w:b/>
          <w:bCs/>
        </w:rPr>
      </w:pPr>
      <w:r w:rsidRPr="00C4710D">
        <w:rPr>
          <w:b/>
          <w:bCs/>
          <w:caps/>
        </w:rPr>
        <w:t>Q</w:t>
      </w:r>
      <w:r w:rsidRPr="00C4710D">
        <w:rPr>
          <w:b/>
          <w:bCs/>
        </w:rPr>
        <w:t xml:space="preserve">. </w:t>
      </w:r>
      <w:r w:rsidRPr="00C4710D">
        <w:rPr>
          <w:b/>
          <w:bCs/>
        </w:rPr>
        <w:tab/>
        <w:t>STAFF ARGUES THAT THE COMPANY HAS NOT SUPPORTED ITS PROPOSAL TO ELIMINATE THE FUEL COST MULTIPLIER AND THAT THE COMPANY “HAS NOT PROVIDED ANY TESTIMONY OR ANALYSIS TO EXPLAIN WHY THE METHODOLOGY PREVIOUSLY APPROVED BY THE COMMISSION PRODUCES AN UNREASONABLE AVOIDED COST VALUE.” PLEASE EXPLAIN THE COMPANY’S POSITION.</w:t>
      </w:r>
    </w:p>
    <w:p w14:paraId="2B6F752C" w14:textId="55A6D90A" w:rsidR="00283C1E" w:rsidRPr="00C4710D" w:rsidRDefault="009E6334" w:rsidP="00283C1E">
      <w:pPr>
        <w:ind w:left="720" w:hanging="810"/>
      </w:pPr>
      <w:r w:rsidRPr="00C4710D">
        <w:t>A.</w:t>
      </w:r>
      <w:r w:rsidRPr="00C4710D">
        <w:tab/>
      </w:r>
      <w:r w:rsidRPr="00C4710D">
        <w:rPr>
          <w:rStyle w:val="CommentReference"/>
        </w:rPr>
        <w:t/>
      </w:r>
      <w:r w:rsidRPr="00C4710D">
        <w:t>As stated in our rebuttal testimony,</w:t>
      </w:r>
      <w:r w:rsidRPr="00C4710D">
        <w:rPr>
          <w:rStyle w:val="FootnoteReference"/>
        </w:rPr>
        <w:footnoteReference w:id="4"/>
      </w:r>
      <w:r w:rsidRPr="00C4710D">
        <w:t xml:space="preserve"> removal of the </w:t>
      </w:r>
      <w:r w:rsidR="005C1D09" w:rsidRPr="00C4710D">
        <w:t>Fuel Cost Multiplier</w:t>
      </w:r>
      <w:r w:rsidRPr="00C4710D">
        <w:t xml:space="preserve"> will </w:t>
      </w:r>
      <w:r w:rsidR="00EA367A" w:rsidRPr="00C4710D">
        <w:t>align avoided energy costs</w:t>
      </w:r>
      <w:r w:rsidR="005C17FD" w:rsidRPr="00C4710D">
        <w:t xml:space="preserve"> with true marginal fuel costs, as opposed to blended </w:t>
      </w:r>
      <w:r w:rsidR="00E806DC" w:rsidRPr="00C4710D">
        <w:t xml:space="preserve">costs, </w:t>
      </w:r>
      <w:r w:rsidR="000721E4" w:rsidRPr="00C4710D">
        <w:t xml:space="preserve">which is </w:t>
      </w:r>
      <w:r w:rsidRPr="00C4710D">
        <w:t>consistent with how Southern Company dispatches Georgia Power’s resource fleet</w:t>
      </w:r>
      <w:r w:rsidR="000721E4" w:rsidRPr="00C4710D">
        <w:t xml:space="preserve"> and </w:t>
      </w:r>
      <w:r w:rsidRPr="00C4710D">
        <w:t xml:space="preserve">how avoided costs are calculated outside of Docket Nos. 4822 and 16573. </w:t>
      </w:r>
      <w:r w:rsidR="00CB6086" w:rsidRPr="00C4710D">
        <w:t>Using marginal costs is a more accurate representation of the actual costs avoided when a QF provides energy to the system</w:t>
      </w:r>
      <w:r w:rsidR="00283C1E" w:rsidRPr="00C4710D">
        <w:t>.</w:t>
      </w:r>
      <w:r w:rsidR="002973E4" w:rsidRPr="00C4710D">
        <w:t xml:space="preserve"> </w:t>
      </w:r>
    </w:p>
    <w:p w14:paraId="6BBA406A" w14:textId="77777777" w:rsidR="00293802" w:rsidRPr="00C4710D" w:rsidRDefault="00293802" w:rsidP="00283C1E">
      <w:pPr>
        <w:ind w:left="720" w:hanging="810"/>
      </w:pPr>
    </w:p>
    <w:p w14:paraId="227EB81A" w14:textId="0ED9A667" w:rsidR="009E6334" w:rsidRPr="00C4710D" w:rsidRDefault="0000546F" w:rsidP="00283C1E">
      <w:pPr>
        <w:ind w:left="720"/>
      </w:pPr>
      <w:r w:rsidRPr="00C4710D">
        <w:t>Marginal replacement fuel cost is based on the next purchase of fuel for a generating unit determined by the current spot market. As a result, generation from a QF avoids the cost of such a market purchase and not the cost as represented by the blended coal price, since the blended coal price is based on coal already purchased, which cannot be avoided. The use of that purchased coal is simply delayed, not eliminated</w:t>
      </w:r>
      <w:r w:rsidR="009E6334" w:rsidRPr="00C4710D">
        <w:t>.</w:t>
      </w:r>
      <w:r w:rsidR="00D56439" w:rsidRPr="00C4710D">
        <w:t xml:space="preserve"> </w:t>
      </w:r>
    </w:p>
    <w:p w14:paraId="543C13E9" w14:textId="1E154CFC" w:rsidR="00D56439" w:rsidRPr="00C4710D" w:rsidRDefault="00D56439" w:rsidP="00D56439">
      <w:pPr>
        <w:ind w:left="720"/>
      </w:pPr>
    </w:p>
    <w:p w14:paraId="2453D205" w14:textId="59AC9770" w:rsidR="00293802" w:rsidRPr="00C4710D" w:rsidRDefault="00293802" w:rsidP="00293802">
      <w:pPr>
        <w:ind w:left="720"/>
      </w:pPr>
      <w:r w:rsidRPr="00C4710D">
        <w:t>In addition to better aligning the formula in Docket No. 4822 with marginal costs, and thus, true avoided costs, removal of the Fuel Cost Multiplier is consistent with the current make-up of Georgia Power’s resource fleet. As contained in the 1994 Final Order, the Commission implemented a Fuel Cost Multiplier to capture costs incurred based on a blend of spot and contract fuel prices. At the time, Georgia Power’s generation fleet was largely dominated by coal-fired units supported heavily by long-term fixed-priced contracts. Over time, however, the contract coal price component of the blended cost has reduced in significance to a point where, on a system-wide basis, the blended fuel cost has come more in line with marginal costs in Georgia Power’s production cost model. There are two reasons for this reduced impact of contract prices. First, as Staff has acknowledged, the share</w:t>
      </w:r>
      <w:r w:rsidR="00C86AE4" w:rsidRPr="00C4710D">
        <w:t xml:space="preserve"> of</w:t>
      </w:r>
      <w:r w:rsidRPr="00C4710D">
        <w:t xml:space="preserve"> coal resources in Georgia Power’s portfolio (to which the majority of the Company’s fixed-priced contracts apply) has been steadily decreasing over time. Second, partly owing to the decline of coal, the duration and volumes in these contracts in question have also decreased. As we explained in our rebuttal testimony, because the Company has no</w:t>
      </w:r>
      <w:r w:rsidR="000B5675" w:rsidRPr="00C4710D">
        <w:t xml:space="preserve"> coal contracts with</w:t>
      </w:r>
      <w:r w:rsidRPr="00C4710D">
        <w:t xml:space="preserve"> fixed prices beyond three years, the Fuel Cost Multiplier rounds to 1.0 after three years. </w:t>
      </w:r>
    </w:p>
    <w:p w14:paraId="4ED66BB6" w14:textId="77777777" w:rsidR="004128FC" w:rsidRPr="00C4710D" w:rsidRDefault="004128FC" w:rsidP="004128FC">
      <w:pPr>
        <w:ind w:left="720"/>
      </w:pPr>
    </w:p>
    <w:p w14:paraId="3BF8D2F0" w14:textId="2E81A982" w:rsidR="00696525" w:rsidRPr="00C4710D" w:rsidRDefault="00696525" w:rsidP="00696525">
      <w:pPr>
        <w:ind w:left="720" w:hanging="720"/>
        <w:rPr>
          <w:b/>
          <w:bCs/>
        </w:rPr>
      </w:pPr>
      <w:r w:rsidRPr="00C4710D">
        <w:rPr>
          <w:b/>
          <w:bCs/>
        </w:rPr>
        <w:t xml:space="preserve">Q. </w:t>
      </w:r>
      <w:r w:rsidRPr="00C4710D">
        <w:rPr>
          <w:b/>
          <w:bCs/>
        </w:rPr>
        <w:tab/>
        <w:t>GLSSA WITNESS WILSON RECOMMENDS THAT THE COMMISSION DIRECT GEORGIA POWER TO APPLY THE FUEL COST MULTIPLIER TO STARTUP AND COMMITMENT COSTS AND ALSO RECOMMENDS THAT THE COMMISSION DIRECT GEORGIA POWER TO INCLUDE A FUEL COST MULTIPLIER IN ALL FORECASTS OF AVOIDED ENERGY COSTS, “PARTICULARLY WHERE FUTURE YEARS OF THAT FORECAST HAVE A MEANINGFUL IMPACT ON EITHER A POLICY DECISION (E.G. DSM COST-EFFECTIVENESS) OR A FIXED-PRICE CONTRACT (E.G. APPLICATION OF THE RCB IN BID EVALUATION).” WOULD THAT BE APPROPRIATE?</w:t>
      </w:r>
    </w:p>
    <w:p w14:paraId="53C105D2" w14:textId="16413863" w:rsidR="00696525" w:rsidRPr="00C4710D" w:rsidRDefault="00696525" w:rsidP="00696525">
      <w:pPr>
        <w:ind w:left="720" w:hanging="720"/>
        <w:rPr>
          <w:rFonts w:eastAsia="MS Mincho"/>
          <w:bCs/>
        </w:rPr>
      </w:pPr>
      <w:r w:rsidRPr="00C4710D">
        <w:t>A.</w:t>
      </w:r>
      <w:r w:rsidRPr="00C4710D">
        <w:tab/>
      </w:r>
      <w:r w:rsidR="00F21763" w:rsidRPr="00C4710D">
        <w:t xml:space="preserve">No. These proposals run counter to the use of marginal costs in setting avoided costs in programs outside of Docket Nos. 4822 and 16573, and, more critically, would undermine the marginal cost-based framework </w:t>
      </w:r>
      <w:r w:rsidR="00F21763" w:rsidRPr="00C4710D">
        <w:rPr>
          <w:rFonts w:eastAsia="MS Mincho"/>
          <w:bCs/>
        </w:rPr>
        <w:t>established through the multi-party, FERC-regulated, Intercompany Interchange Contract (“IIC”), which governs dispatch operations across the Southern Company system. This latter point is particularly important. Although the Company once operated and dispatched its system based on blended costs</w:t>
      </w:r>
      <w:r w:rsidR="002C5F5B" w:rsidRPr="00C4710D">
        <w:rPr>
          <w:rFonts w:eastAsia="MS Mincho"/>
          <w:bCs/>
        </w:rPr>
        <w:t xml:space="preserve"> under the IIC</w:t>
      </w:r>
      <w:r w:rsidR="00F21763" w:rsidRPr="00C4710D">
        <w:rPr>
          <w:rFonts w:eastAsia="MS Mincho"/>
          <w:bCs/>
        </w:rPr>
        <w:t>,</w:t>
      </w:r>
      <w:r w:rsidR="00F21763" w:rsidRPr="00C4710D">
        <w:rPr>
          <w:rStyle w:val="FootnoteReference"/>
          <w:rFonts w:eastAsia="MS Mincho"/>
          <w:bCs/>
        </w:rPr>
        <w:footnoteReference w:id="5"/>
      </w:r>
      <w:r w:rsidR="00F21763" w:rsidRPr="00C4710D">
        <w:rPr>
          <w:rFonts w:eastAsia="MS Mincho"/>
          <w:bCs/>
        </w:rPr>
        <w:t xml:space="preserve"> the </w:t>
      </w:r>
      <w:r w:rsidR="002C5F5B" w:rsidRPr="00C4710D">
        <w:rPr>
          <w:rFonts w:eastAsia="MS Mincho"/>
          <w:bCs/>
        </w:rPr>
        <w:t xml:space="preserve">IIC dispatch framework </w:t>
      </w:r>
      <w:r w:rsidR="00A564F9" w:rsidRPr="00C4710D">
        <w:rPr>
          <w:rFonts w:eastAsia="MS Mincho"/>
          <w:bCs/>
        </w:rPr>
        <w:t xml:space="preserve">was </w:t>
      </w:r>
      <w:r w:rsidR="002C5F5B" w:rsidRPr="00C4710D">
        <w:rPr>
          <w:rFonts w:eastAsia="MS Mincho"/>
          <w:bCs/>
        </w:rPr>
        <w:t xml:space="preserve">modernized </w:t>
      </w:r>
      <w:r w:rsidR="00A564F9" w:rsidRPr="00C4710D">
        <w:rPr>
          <w:rFonts w:eastAsia="MS Mincho"/>
          <w:bCs/>
        </w:rPr>
        <w:t xml:space="preserve">in </w:t>
      </w:r>
      <w:r w:rsidR="0073555A" w:rsidRPr="00C4710D">
        <w:rPr>
          <w:rFonts w:eastAsia="MS Mincho"/>
          <w:bCs/>
        </w:rPr>
        <w:t xml:space="preserve">the </w:t>
      </w:r>
      <w:r w:rsidR="00A564F9" w:rsidRPr="00C4710D">
        <w:rPr>
          <w:rFonts w:eastAsia="MS Mincho"/>
          <w:bCs/>
        </w:rPr>
        <w:t xml:space="preserve">1990s </w:t>
      </w:r>
      <w:r w:rsidR="002C5F5B" w:rsidRPr="00C4710D">
        <w:rPr>
          <w:rFonts w:eastAsia="MS Mincho"/>
          <w:bCs/>
        </w:rPr>
        <w:t>to align operations with</w:t>
      </w:r>
      <w:r w:rsidR="0010345D" w:rsidRPr="00C4710D">
        <w:rPr>
          <w:rFonts w:eastAsia="MS Mincho"/>
          <w:bCs/>
        </w:rPr>
        <w:t xml:space="preserve"> </w:t>
      </w:r>
      <w:r w:rsidR="00F21763" w:rsidRPr="00C4710D">
        <w:rPr>
          <w:rFonts w:eastAsia="MS Mincho"/>
          <w:bCs/>
        </w:rPr>
        <w:t>marginal cost</w:t>
      </w:r>
      <w:r w:rsidR="0010345D" w:rsidRPr="00C4710D">
        <w:rPr>
          <w:rFonts w:eastAsia="MS Mincho"/>
          <w:bCs/>
        </w:rPr>
        <w:t>-based</w:t>
      </w:r>
      <w:r w:rsidR="00F21763" w:rsidRPr="00C4710D">
        <w:rPr>
          <w:rFonts w:eastAsia="MS Mincho"/>
          <w:bCs/>
        </w:rPr>
        <w:t xml:space="preserve"> rate</w:t>
      </w:r>
      <w:r w:rsidR="0010345D" w:rsidRPr="00C4710D">
        <w:rPr>
          <w:rFonts w:eastAsia="MS Mincho"/>
          <w:bCs/>
        </w:rPr>
        <w:t>s and dispatching</w:t>
      </w:r>
      <w:r w:rsidR="00F21763" w:rsidRPr="00C4710D">
        <w:rPr>
          <w:rFonts w:eastAsia="MS Mincho"/>
          <w:bCs/>
        </w:rPr>
        <w:t xml:space="preserve">. </w:t>
      </w:r>
      <w:r w:rsidR="008B4CD8" w:rsidRPr="00C4710D">
        <w:rPr>
          <w:rFonts w:eastAsia="MS Mincho"/>
          <w:bCs/>
        </w:rPr>
        <w:t>Because marginal cost represents the next purchase of fuel for a generating unit determined by the current spot market, it forms the basis for how SCS is able to dispatch the intercompany pool of resources cost-effectively to save money for Georgia Power customers. The Fuel Cost Multiplier, therefore, with its reliance on blended costs, is a relic of how the operating companies</w:t>
      </w:r>
      <w:r w:rsidR="00F61DD0" w:rsidRPr="00C4710D">
        <w:rPr>
          <w:rFonts w:eastAsia="MS Mincho"/>
          <w:bCs/>
          <w:i/>
          <w:iCs/>
        </w:rPr>
        <w:t xml:space="preserve"> historically </w:t>
      </w:r>
      <w:r w:rsidR="008B4CD8" w:rsidRPr="00C4710D">
        <w:rPr>
          <w:rFonts w:eastAsia="MS Mincho"/>
          <w:bCs/>
        </w:rPr>
        <w:t>operate</w:t>
      </w:r>
      <w:r w:rsidR="00F61DD0" w:rsidRPr="00C4710D">
        <w:rPr>
          <w:rFonts w:eastAsia="MS Mincho"/>
          <w:bCs/>
        </w:rPr>
        <w:t>d</w:t>
      </w:r>
      <w:r w:rsidR="008B4CD8" w:rsidRPr="00C4710D">
        <w:rPr>
          <w:rFonts w:eastAsia="MS Mincho"/>
          <w:bCs/>
        </w:rPr>
        <w:t xml:space="preserve"> their system. It is not based in </w:t>
      </w:r>
      <w:r w:rsidR="00F61DD0" w:rsidRPr="00C4710D">
        <w:rPr>
          <w:rFonts w:eastAsia="MS Mincho"/>
          <w:bCs/>
        </w:rPr>
        <w:t xml:space="preserve">current, </w:t>
      </w:r>
      <w:r w:rsidR="008B4CD8" w:rsidRPr="00C4710D">
        <w:rPr>
          <w:rFonts w:eastAsia="MS Mincho"/>
          <w:bCs/>
        </w:rPr>
        <w:t xml:space="preserve">real-world operational realities. </w:t>
      </w:r>
      <w:r w:rsidR="00DF1C6B" w:rsidRPr="00C4710D">
        <w:rPr>
          <w:rFonts w:eastAsia="MS Mincho"/>
          <w:bCs/>
        </w:rPr>
        <w:t>Thus, Wilson’s proposal, which runs counter to the basis for dispatch and wholesale sales under a FERC-jurisdictional agreement, should be rejected outright as inconsistent with the calculation of true avoided costs</w:t>
      </w:r>
      <w:r w:rsidR="008B4CD8" w:rsidRPr="00C4710D">
        <w:rPr>
          <w:rFonts w:eastAsia="MS Mincho"/>
          <w:bCs/>
        </w:rPr>
        <w:t>.</w:t>
      </w:r>
    </w:p>
    <w:p w14:paraId="1B84845D" w14:textId="77777777" w:rsidR="008B4CD8" w:rsidRPr="00C4710D" w:rsidRDefault="008B4CD8" w:rsidP="00696525">
      <w:pPr>
        <w:ind w:left="720" w:hanging="720"/>
        <w:rPr>
          <w:rFonts w:eastAsia="MS Mincho"/>
          <w:bCs/>
        </w:rPr>
      </w:pPr>
    </w:p>
    <w:p w14:paraId="2F0931D1" w14:textId="2294BBE7" w:rsidR="00696525" w:rsidRPr="00C4710D" w:rsidRDefault="00696525" w:rsidP="00696525">
      <w:pPr>
        <w:pStyle w:val="Heading3"/>
      </w:pPr>
      <w:bookmarkStart w:id="25" w:name="_Toc58467590"/>
      <w:r w:rsidRPr="00C4710D">
        <w:t>Marginal Cost Multiplier &amp; Unit Commitment</w:t>
      </w:r>
      <w:bookmarkEnd w:id="25"/>
      <w:r w:rsidRPr="00C4710D">
        <w:t xml:space="preserve"> Cost Adder</w:t>
      </w:r>
    </w:p>
    <w:p w14:paraId="67DAC33A" w14:textId="77777777" w:rsidR="00F8581D" w:rsidRPr="00C4710D" w:rsidRDefault="00F8581D" w:rsidP="00696525">
      <w:pPr>
        <w:ind w:left="720" w:hanging="720"/>
        <w:rPr>
          <w:b/>
          <w:bCs/>
        </w:rPr>
      </w:pPr>
    </w:p>
    <w:p w14:paraId="4B78915B" w14:textId="77777777" w:rsidR="00696525" w:rsidRPr="00C4710D" w:rsidRDefault="00696525" w:rsidP="00696525">
      <w:pPr>
        <w:ind w:left="720" w:hanging="720"/>
        <w:rPr>
          <w:b/>
          <w:bCs/>
        </w:rPr>
      </w:pPr>
      <w:r w:rsidRPr="00C4710D">
        <w:rPr>
          <w:b/>
          <w:bCs/>
        </w:rPr>
        <w:t xml:space="preserve">Q. </w:t>
      </w:r>
      <w:r w:rsidRPr="00C4710D">
        <w:rPr>
          <w:b/>
          <w:bCs/>
        </w:rPr>
        <w:tab/>
        <w:t xml:space="preserve">PLEASE SUMMARIZE THE COMPANY’S POSITION REGARDING THE MARGINAL COST MULTIPLIER. </w:t>
      </w:r>
    </w:p>
    <w:p w14:paraId="35A39ABC" w14:textId="28D6EC3D" w:rsidR="00293802" w:rsidRPr="00C4710D" w:rsidRDefault="00696525" w:rsidP="00293802">
      <w:pPr>
        <w:ind w:left="720" w:hanging="720"/>
      </w:pPr>
      <w:r w:rsidRPr="00C4710D">
        <w:t xml:space="preserve">A. </w:t>
      </w:r>
      <w:r w:rsidRPr="00C4710D">
        <w:tab/>
      </w:r>
      <w:r w:rsidR="00293802" w:rsidRPr="00C4710D">
        <w:t xml:space="preserve">The Company proposes to eliminate the Marginal Cost Multiplier from the avoided cost formula in Docket No. 4822 for two reasons. First, </w:t>
      </w:r>
      <w:r w:rsidR="00293802" w:rsidRPr="00C4710D">
        <w:rPr>
          <w:color w:val="000000"/>
          <w:spacing w:val="-1"/>
        </w:rPr>
        <w:t xml:space="preserve">the effect intended to be captured by the Marginal Cost Multiplier is already captured in the commitment/startup cost adder portion of the avoided cost formula. Accordingly, there is no practical impact to marginal pricing posed by the energy delivered from QFs through the </w:t>
      </w:r>
      <w:r w:rsidR="00293802" w:rsidRPr="00C4710D">
        <w:t>“Standard Contract for the Purchase of Non-Firm Energy” (the</w:t>
      </w:r>
      <w:r w:rsidR="002973E4" w:rsidRPr="00C4710D">
        <w:t xml:space="preserve"> </w:t>
      </w:r>
      <w:r w:rsidR="00293802" w:rsidRPr="00C4710D">
        <w:t>“Energy-Only PPA”)</w:t>
      </w:r>
      <w:r w:rsidR="00293802" w:rsidRPr="00C4710D">
        <w:rPr>
          <w:color w:val="000000"/>
          <w:spacing w:val="-1"/>
        </w:rPr>
        <w:t>, and to the extent that such energy would impact marginal pricing, it is already captured in the start-up and commitment cost adder</w:t>
      </w:r>
      <w:r w:rsidR="00F8581D" w:rsidRPr="00C4710D">
        <w:rPr>
          <w:color w:val="000000"/>
          <w:spacing w:val="-1"/>
        </w:rPr>
        <w:t xml:space="preserve"> (also called the unit commitment cost (“UCC”) adder)</w:t>
      </w:r>
      <w:r w:rsidR="00293802" w:rsidRPr="00C4710D">
        <w:rPr>
          <w:color w:val="000000"/>
          <w:spacing w:val="-1"/>
        </w:rPr>
        <w:t xml:space="preserve">. </w:t>
      </w:r>
      <w:r w:rsidR="008B4CD8" w:rsidRPr="00C4710D">
        <w:rPr>
          <w:color w:val="000000"/>
          <w:spacing w:val="-1"/>
        </w:rPr>
        <w:t>Second,</w:t>
      </w:r>
      <w:r w:rsidR="008B4CD8" w:rsidRPr="00C4710D">
        <w:t xml:space="preserve"> as explained below, elimination of the Marginal Cost Multiplier is appropriate because the only QF procurements for which this multiplier is relevant make up less than 0.1% of the system load on an hourly basis, resulting in a Marginal Cost Multiplier that</w:t>
      </w:r>
      <w:r w:rsidR="00B37759" w:rsidRPr="00C4710D">
        <w:t xml:space="preserve">, </w:t>
      </w:r>
      <w:r w:rsidR="00A933B8" w:rsidRPr="00C4710D">
        <w:t xml:space="preserve">if calculated, </w:t>
      </w:r>
      <w:r w:rsidR="008B4CD8" w:rsidRPr="00C4710D">
        <w:t>would round to 1.0</w:t>
      </w:r>
      <w:r w:rsidR="00AD6BEB" w:rsidRPr="00C4710D">
        <w:t>,</w:t>
      </w:r>
      <w:r w:rsidR="008B4CD8" w:rsidRPr="00C4710D">
        <w:t xml:space="preserve"> </w:t>
      </w:r>
      <w:r w:rsidR="008B4CD8" w:rsidRPr="00C4710D">
        <w:rPr>
          <w:color w:val="000000"/>
          <w:spacing w:val="-1"/>
        </w:rPr>
        <w:t>reflecting that the QF program does not meaningfully change system dispatch or, therefore, influence the Company’s marginal costs.</w:t>
      </w:r>
    </w:p>
    <w:p w14:paraId="53B127F6" w14:textId="6073EB52" w:rsidR="00696525" w:rsidRPr="00C4710D" w:rsidRDefault="00696525" w:rsidP="00293802">
      <w:pPr>
        <w:ind w:left="720" w:hanging="720"/>
      </w:pPr>
    </w:p>
    <w:p w14:paraId="4E56F04B" w14:textId="5F1CE470" w:rsidR="00696525" w:rsidRPr="00C4710D" w:rsidRDefault="00F40FE3" w:rsidP="00696525">
      <w:pPr>
        <w:ind w:left="720" w:hanging="720"/>
        <w:rPr>
          <w:b/>
          <w:bCs/>
          <w:caps/>
        </w:rPr>
      </w:pPr>
      <w:r w:rsidRPr="00C4710D">
        <w:rPr>
          <w:b/>
          <w:bCs/>
        </w:rPr>
        <w:t>Q.</w:t>
      </w:r>
      <w:r w:rsidRPr="00C4710D">
        <w:rPr>
          <w:b/>
          <w:bCs/>
        </w:rPr>
        <w:tab/>
      </w:r>
      <w:r w:rsidR="00A26BB4" w:rsidRPr="00C4710D">
        <w:rPr>
          <w:b/>
          <w:bCs/>
        </w:rPr>
        <w:t xml:space="preserve">STAFF QUESTIONS WHETHER </w:t>
      </w:r>
      <w:r w:rsidR="00696525" w:rsidRPr="00C4710D">
        <w:rPr>
          <w:b/>
          <w:bCs/>
        </w:rPr>
        <w:t>THE</w:t>
      </w:r>
      <w:r w:rsidR="00696525" w:rsidRPr="00C4710D">
        <w:rPr>
          <w:b/>
          <w:bCs/>
          <w:caps/>
        </w:rPr>
        <w:t xml:space="preserve"> </w:t>
      </w:r>
      <w:r w:rsidR="00F8581D" w:rsidRPr="00C4710D">
        <w:rPr>
          <w:b/>
          <w:bCs/>
          <w:caps/>
        </w:rPr>
        <w:t>UCC</w:t>
      </w:r>
      <w:r w:rsidRPr="00C4710D">
        <w:rPr>
          <w:b/>
          <w:bCs/>
          <w:caps/>
        </w:rPr>
        <w:t xml:space="preserve"> ADDER</w:t>
      </w:r>
      <w:r w:rsidR="00696525" w:rsidRPr="00C4710D">
        <w:rPr>
          <w:b/>
          <w:bCs/>
          <w:caps/>
        </w:rPr>
        <w:t xml:space="preserve"> adequately captureS production cost impacts above system lambda, including the cost of any units whose commitment is avoided by QF energy</w:t>
      </w:r>
      <w:r w:rsidR="00A26BB4" w:rsidRPr="00C4710D">
        <w:rPr>
          <w:b/>
          <w:bCs/>
          <w:caps/>
        </w:rPr>
        <w:t>. HAS THE COMPANY ADEQUATELY EXPLAINED ITS POSITION</w:t>
      </w:r>
      <w:r w:rsidR="00696525" w:rsidRPr="00C4710D">
        <w:rPr>
          <w:b/>
          <w:bCs/>
          <w:caps/>
        </w:rPr>
        <w:t>?</w:t>
      </w:r>
    </w:p>
    <w:p w14:paraId="784D449C" w14:textId="41DB704C" w:rsidR="00696525" w:rsidRPr="00C4710D" w:rsidRDefault="00696525" w:rsidP="00696525">
      <w:pPr>
        <w:ind w:left="720" w:hanging="720"/>
      </w:pPr>
      <w:r w:rsidRPr="00C4710D">
        <w:t>A.</w:t>
      </w:r>
      <w:r w:rsidRPr="00C4710D">
        <w:tab/>
        <w:t xml:space="preserve">Yes. We address this in our rebuttal testimony, pages 38-39, which Staff would not have had the benefit of reviewing before filing its </w:t>
      </w:r>
      <w:r w:rsidR="00F40FE3" w:rsidRPr="00C4710D">
        <w:t>d</w:t>
      </w:r>
      <w:r w:rsidRPr="00C4710D">
        <w:t xml:space="preserve">irect </w:t>
      </w:r>
      <w:r w:rsidR="00F40FE3" w:rsidRPr="00C4710D">
        <w:t>t</w:t>
      </w:r>
      <w:r w:rsidRPr="00C4710D">
        <w:t xml:space="preserve">estimony. </w:t>
      </w:r>
    </w:p>
    <w:p w14:paraId="067E1055" w14:textId="77777777" w:rsidR="00845E76" w:rsidRPr="00C4710D" w:rsidRDefault="00845E76" w:rsidP="00696525"/>
    <w:p w14:paraId="1852F4D5" w14:textId="77777777" w:rsidR="00696525" w:rsidRPr="00C4710D" w:rsidRDefault="00696525" w:rsidP="00696525">
      <w:pPr>
        <w:ind w:left="720" w:hanging="720"/>
        <w:rPr>
          <w:b/>
          <w:bCs/>
          <w:caps/>
        </w:rPr>
      </w:pPr>
      <w:r w:rsidRPr="00C4710D">
        <w:rPr>
          <w:b/>
          <w:bCs/>
          <w:caps/>
        </w:rPr>
        <w:t xml:space="preserve">Q. </w:t>
      </w:r>
      <w:r w:rsidRPr="00C4710D">
        <w:rPr>
          <w:b/>
          <w:bCs/>
          <w:caps/>
        </w:rPr>
        <w:tab/>
        <w:t xml:space="preserve">Staff criticized THE COMPANY’S COMMITMENT AND START-UP COST ADDER CALCULATION, ARGUING THAT IT “DOES NOT APPEAR TO BE A REASONABLE PROXY FOR THE PRODUCTION COST IMPACT OF A SOLAR RESOURCE.” WHAT IS YOUR RESPONSE? </w:t>
      </w:r>
    </w:p>
    <w:p w14:paraId="41875836" w14:textId="43CB3883" w:rsidR="00696525" w:rsidRPr="00C4710D" w:rsidRDefault="00696525" w:rsidP="00696525">
      <w:pPr>
        <w:ind w:left="720" w:hanging="720"/>
      </w:pPr>
      <w:r w:rsidRPr="00C4710D">
        <w:t>A.</w:t>
      </w:r>
      <w:r w:rsidRPr="00C4710D">
        <w:tab/>
      </w:r>
      <w:r w:rsidR="002779B4" w:rsidRPr="00C4710D">
        <w:t xml:space="preserve">First, Georgia Power does not believe that it is appropriate to develop a solar-specific production cost calculation method, particularly in a generic PURPA avoided cost proceeding that will apply to all types of QF technologies, including cogenerators. Second, the Company’s current methodologies accurately capture the start-up/commitment costs incurred by the Company, and adequately capture the impacts imposed by QF generation. </w:t>
      </w:r>
      <w:r w:rsidR="008F09F9" w:rsidRPr="00C4710D">
        <w:t xml:space="preserve">The level of the UCC </w:t>
      </w:r>
      <w:r w:rsidR="00293802" w:rsidRPr="00C4710D">
        <w:t xml:space="preserve">is partly dependent on resource type, with the typical minimum up and down time for a coal unit being several days, 6-8 hours for a combined cycle generator, and just 2 hours for a </w:t>
      </w:r>
      <w:r w:rsidR="00D325B2" w:rsidRPr="00C4710D">
        <w:t>c</w:t>
      </w:r>
      <w:r w:rsidR="00293802" w:rsidRPr="00C4710D">
        <w:t xml:space="preserve">ombustion </w:t>
      </w:r>
      <w:r w:rsidR="00D325B2" w:rsidRPr="00C4710D">
        <w:t>t</w:t>
      </w:r>
      <w:r w:rsidR="00293802" w:rsidRPr="00C4710D">
        <w:t xml:space="preserve">urbine (“CT”) generator. The Company’s methodology identifies when the UCC is avoided by a resource, such as an incremental solar QF, by running sensitivities that vary load by 500 MW. </w:t>
      </w:r>
      <w:r w:rsidR="008B4CD8" w:rsidRPr="00C4710D">
        <w:t>This</w:t>
      </w:r>
      <w:r w:rsidR="003C312B" w:rsidRPr="00C4710D">
        <w:t xml:space="preserve"> process</w:t>
      </w:r>
      <w:r w:rsidR="008B4CD8" w:rsidRPr="00C4710D">
        <w:t xml:space="preserve"> more than adequately captures the energy from the current 503 MW </w:t>
      </w:r>
      <w:r w:rsidR="00293802" w:rsidRPr="00C4710D">
        <w:t>of QFs selling through Energy-Only PPAs, which is typically less than 1/10</w:t>
      </w:r>
      <w:r w:rsidR="00293802" w:rsidRPr="00C4710D">
        <w:rPr>
          <w:vertAlign w:val="superscript"/>
        </w:rPr>
        <w:t>th</w:t>
      </w:r>
      <w:r w:rsidR="00293802" w:rsidRPr="00C4710D">
        <w:t xml:space="preserve"> of 1 percent of overall load in any given hour, especially considering that most are cogeneration facilities that export to the grid only a small portion of the energy that the QFs are capable of producing.</w:t>
      </w:r>
    </w:p>
    <w:p w14:paraId="004FD860" w14:textId="77777777" w:rsidR="00696525" w:rsidRPr="00C4710D" w:rsidRDefault="00696525" w:rsidP="00696525">
      <w:pPr>
        <w:ind w:left="720" w:hanging="720"/>
      </w:pPr>
    </w:p>
    <w:p w14:paraId="3D97D306" w14:textId="7C009DCD" w:rsidR="00696525" w:rsidRPr="00C4710D" w:rsidRDefault="00696525" w:rsidP="001D217E">
      <w:pPr>
        <w:ind w:left="720"/>
      </w:pPr>
      <w:r w:rsidRPr="00C4710D">
        <w:t xml:space="preserve">Overnight commitment costs are most often </w:t>
      </w:r>
      <w:r w:rsidR="00067C46" w:rsidRPr="00C4710D">
        <w:t>incurred by keeping</w:t>
      </w:r>
      <w:r w:rsidRPr="00C4710D">
        <w:t xml:space="preserve"> coal generation online overnight to meet ramping and/or peak load </w:t>
      </w:r>
      <w:r w:rsidR="00726FB2" w:rsidRPr="00C4710D">
        <w:t xml:space="preserve">requirements </w:t>
      </w:r>
      <w:r w:rsidRPr="00C4710D">
        <w:t>in the near future. Solar generation, however, is only present during daylight hours. Although the addition of solar generation may not defer the commitment of a 24</w:t>
      </w:r>
      <w:r w:rsidR="00EF5CA0" w:rsidRPr="00C4710D">
        <w:t>-</w:t>
      </w:r>
      <w:r w:rsidRPr="00C4710D">
        <w:t>hour, multiple day coal unit, it may replace more flexible gas generation. Therefore, the Company’s methodology represents a conservative approach that generally benefits QFs by producing higher avoided cost values in that the commitment of any</w:t>
      </w:r>
      <w:r w:rsidR="00F714A7" w:rsidRPr="00C4710D">
        <w:t xml:space="preserve"> generating</w:t>
      </w:r>
      <w:r w:rsidRPr="00C4710D">
        <w:t xml:space="preserve"> unit, whether caused by solar generation over sunlight hours, sporadic generation from a cogen</w:t>
      </w:r>
      <w:r w:rsidR="00755434" w:rsidRPr="00C4710D">
        <w:t>erator</w:t>
      </w:r>
      <w:r w:rsidRPr="00C4710D">
        <w:t>, or anything else</w:t>
      </w:r>
      <w:r w:rsidR="00470F06" w:rsidRPr="00C4710D">
        <w:t>,</w:t>
      </w:r>
      <w:r w:rsidRPr="00C4710D">
        <w:t xml:space="preserve"> is reflected in the UCC. </w:t>
      </w:r>
    </w:p>
    <w:p w14:paraId="04875950" w14:textId="77777777" w:rsidR="00696525" w:rsidRPr="00C4710D" w:rsidRDefault="00696525" w:rsidP="00696525"/>
    <w:p w14:paraId="53255938" w14:textId="2F663FA9" w:rsidR="00696525" w:rsidRPr="00C4710D" w:rsidRDefault="00696525" w:rsidP="00696525">
      <w:pPr>
        <w:pStyle w:val="Heading3"/>
      </w:pPr>
      <w:bookmarkStart w:id="26" w:name="_Toc58467591"/>
      <w:r w:rsidRPr="00C4710D">
        <w:t>Economic Dispatching and Unit Commitment</w:t>
      </w:r>
      <w:bookmarkEnd w:id="26"/>
    </w:p>
    <w:p w14:paraId="5ADC95CE" w14:textId="77777777" w:rsidR="00696525" w:rsidRPr="00C4710D" w:rsidRDefault="00696525" w:rsidP="00696525">
      <w:pPr>
        <w:ind w:left="720" w:hanging="720"/>
        <w:rPr>
          <w:rFonts w:ascii="Times New Roman Bold" w:hAnsi="Times New Roman Bold"/>
          <w:b/>
          <w:caps/>
        </w:rPr>
      </w:pPr>
    </w:p>
    <w:p w14:paraId="1721BE80" w14:textId="61ED72FE" w:rsidR="00BA36C8" w:rsidRPr="00C4710D" w:rsidRDefault="00BA36C8" w:rsidP="00BA36C8">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GIPL-S-VS Witnesses Cox and Jester, aND sierra club witness fisher, allege that the Company engages in “uneconomic dispatch” OR “UNECONOMIC COMMITMENT.” DOES SOUTHERN COMPANY ENGAGE IN UNECONOMIC DISPATCH OR UNIT COMMITMENT? </w:t>
      </w:r>
    </w:p>
    <w:p w14:paraId="545F49F3" w14:textId="4C3EC7A0" w:rsidR="00696525" w:rsidRPr="00C4710D" w:rsidRDefault="00BA36C8" w:rsidP="00BA36C8">
      <w:pPr>
        <w:ind w:left="720" w:hanging="720"/>
      </w:pPr>
      <w:r w:rsidRPr="00C4710D">
        <w:t xml:space="preserve">A. </w:t>
      </w:r>
      <w:r w:rsidRPr="00C4710D">
        <w:tab/>
        <w:t>No, as further explained in our rebuttal testimony and as acknowledged by Staff, SCS does not engage in uneconomic dispatch or unit commitment. As Staff explained, “[t]here are a number of reasons why utilities must sometimes commit and dispatch resources that are not the least-cost resource available at any location on the system,” such as to relieve transmission congestion, operational restrictions, or reliability support.</w:t>
      </w:r>
      <w:r w:rsidRPr="00C4710D">
        <w:rPr>
          <w:rStyle w:val="FootnoteReference"/>
        </w:rPr>
        <w:footnoteReference w:id="6"/>
      </w:r>
      <w:r w:rsidRPr="00C4710D">
        <w:t xml:space="preserve"> </w:t>
      </w:r>
      <w:r w:rsidR="00696525" w:rsidRPr="00C4710D">
        <w:t xml:space="preserve">To that succinct summary, we would only add that distinguishing least-cost resources also critically depends on the timeframe in which that resource is evaluated, as an “expensive” generator in a brief system snapshot may ultimately be the least-cost resource when viewed holistically over a longer time period. </w:t>
      </w:r>
    </w:p>
    <w:p w14:paraId="66A4CA9D" w14:textId="77777777" w:rsidR="00696525" w:rsidRPr="00C4710D" w:rsidRDefault="00696525" w:rsidP="00696525">
      <w:pPr>
        <w:ind w:left="720" w:hanging="720"/>
      </w:pPr>
    </w:p>
    <w:p w14:paraId="63DC4DB1" w14:textId="2DC58E6A" w:rsidR="00A14C5A" w:rsidRPr="00C4710D" w:rsidRDefault="00696525" w:rsidP="00A14C5A">
      <w:pPr>
        <w:ind w:left="720" w:hanging="720"/>
      </w:pPr>
      <w:r w:rsidRPr="00C4710D">
        <w:rPr>
          <w:b/>
          <w:bCs/>
        </w:rPr>
        <w:t xml:space="preserve"> </w:t>
      </w:r>
      <w:r w:rsidRPr="00C4710D">
        <w:rPr>
          <w:b/>
          <w:bCs/>
        </w:rPr>
        <w:tab/>
      </w:r>
      <w:r w:rsidR="00A14C5A" w:rsidRPr="00C4710D">
        <w:t>For example, SCS, on behalf of Georgia Power and the other Southern Company operating companies, commits generating units that minimize total production costs over a 10-day period to reliably meet retail and wholesale obligations and provide necessary ancillary services for system operations. The unit commitment process utilizes a production cost model that considers items such as unit variable costs, startup costs, minimum up and down times, ramping capabilities, must-run requirements, and unit operating limits, combined with the load forecast and reserve requirements, to provide a commitment plan that minimizes production cost and meets the instantaneous load and reserve requirements subject to operating constraints. Operations personnel finalize the next day’s commitment plan with consideration of any additional known system constraints.</w:t>
      </w:r>
      <w:r w:rsidR="00FE5443" w:rsidRPr="00C4710D">
        <w:t xml:space="preserve"> </w:t>
      </w:r>
      <w:r w:rsidR="00966C0A" w:rsidRPr="00C4710D">
        <w:t>SCS</w:t>
      </w:r>
      <w:r w:rsidR="00FE5443" w:rsidRPr="00C4710D">
        <w:t xml:space="preserve"> dispatches the fleet in a manner that ensures reliability and minimizes costs over the long term.</w:t>
      </w:r>
      <w:r w:rsidR="00A14C5A" w:rsidRPr="00C4710D">
        <w:t xml:space="preserve"> </w:t>
      </w:r>
    </w:p>
    <w:p w14:paraId="5693E13E" w14:textId="159D5EC3" w:rsidR="00696525" w:rsidRPr="00C4710D" w:rsidRDefault="00696525" w:rsidP="00A14C5A">
      <w:pPr>
        <w:ind w:left="720" w:hanging="720"/>
      </w:pPr>
    </w:p>
    <w:p w14:paraId="1D6954FD" w14:textId="6D6159A8" w:rsidR="002F236C" w:rsidRPr="00C4710D" w:rsidRDefault="002F236C" w:rsidP="002F236C">
      <w:pPr>
        <w:ind w:left="720" w:hanging="720"/>
      </w:pPr>
      <w:r w:rsidRPr="00C4710D">
        <w:t xml:space="preserve">Q. </w:t>
      </w:r>
      <w:r w:rsidRPr="00C4710D">
        <w:tab/>
      </w:r>
      <w:r w:rsidRPr="00C4710D">
        <w:rPr>
          <w:rFonts w:ascii="Times New Roman Bold" w:hAnsi="Times New Roman Bold"/>
          <w:b/>
          <w:caps/>
        </w:rPr>
        <w:t>Sierra Club Witness Fisher</w:t>
      </w:r>
      <w:r w:rsidRPr="00C4710D">
        <w:rPr>
          <w:b/>
          <w:bCs/>
        </w:rPr>
        <w:t xml:space="preserve"> ARGUES THAT SELF-COMMITMENT SUPPRESSES SYSTEM LAMBDA AND LEADS TO NON-ECONOMIC COMMITMENT DECISIONS. </w:t>
      </w:r>
      <w:r w:rsidRPr="00C4710D">
        <w:rPr>
          <w:rFonts w:ascii="Times New Roman Bold" w:hAnsi="Times New Roman Bold"/>
          <w:b/>
          <w:caps/>
        </w:rPr>
        <w:t>PLEASE EXPLAIN THE COMPANY’S SELF-COMMITMENT PROCESS.</w:t>
      </w:r>
    </w:p>
    <w:p w14:paraId="59811A01" w14:textId="109D73CC" w:rsidR="0012018D" w:rsidRPr="00C4710D" w:rsidRDefault="0012018D" w:rsidP="0012018D">
      <w:pPr>
        <w:ind w:left="720" w:hanging="720"/>
      </w:pPr>
      <w:r w:rsidRPr="00C4710D">
        <w:t xml:space="preserve">A. </w:t>
      </w:r>
      <w:r w:rsidRPr="00C4710D">
        <w:tab/>
      </w:r>
      <w:r w:rsidR="008B6444" w:rsidRPr="00C4710D">
        <w:t xml:space="preserve">The </w:t>
      </w:r>
      <w:r w:rsidRPr="00C4710D">
        <w:t>Company, through its agent SCS, self-commits all</w:t>
      </w:r>
      <w:r w:rsidR="00A06498" w:rsidRPr="00C4710D">
        <w:t xml:space="preserve"> of</w:t>
      </w:r>
      <w:r w:rsidRPr="00C4710D">
        <w:t xml:space="preserve"> its coal units as part of the optimization process within the Southern Company pool, as governed by the IIC. However, this </w:t>
      </w:r>
      <w:r w:rsidR="00004FEB" w:rsidRPr="00C4710D">
        <w:t xml:space="preserve">process </w:t>
      </w:r>
      <w:r w:rsidRPr="00C4710D">
        <w:t xml:space="preserve">is not the same as self-commitment that participants in a Regional Transmission Organization (“RTO”) </w:t>
      </w:r>
      <w:r w:rsidR="00004FEB" w:rsidRPr="00C4710D">
        <w:t>undertake</w:t>
      </w:r>
      <w:r w:rsidRPr="00C4710D">
        <w:t xml:space="preserve">, regardless of system economics. SCS’s commitment of coal units is done in full view of economics and reliability risks. </w:t>
      </w:r>
    </w:p>
    <w:p w14:paraId="48CF8097" w14:textId="77777777" w:rsidR="0012018D" w:rsidRPr="00C4710D" w:rsidRDefault="0012018D" w:rsidP="0012018D">
      <w:pPr>
        <w:ind w:left="720"/>
      </w:pPr>
    </w:p>
    <w:p w14:paraId="5B84EDBB" w14:textId="0B255486" w:rsidR="0012018D" w:rsidRPr="00C4710D" w:rsidRDefault="00FD7D2F" w:rsidP="0012018D">
      <w:pPr>
        <w:ind w:left="720"/>
      </w:pPr>
      <w:r w:rsidRPr="00C4710D">
        <w:t xml:space="preserve">A coal unit is committed </w:t>
      </w:r>
      <w:r w:rsidR="0012018D" w:rsidRPr="00C4710D">
        <w:t xml:space="preserve">based on total production costs as well as its ability to mitigate system operational risks by providing readily available reserves and being dispatchable. These commitment evaluations are compared against other options, such as peaking resources and spot power purchases. A combination of the potential system risks as well as total production cost impacts are used in making commitment decisions. </w:t>
      </w:r>
    </w:p>
    <w:p w14:paraId="5D30E9A0" w14:textId="77777777" w:rsidR="00696525" w:rsidRPr="00C4710D" w:rsidRDefault="00696525" w:rsidP="00696525">
      <w:pPr>
        <w:ind w:left="720"/>
      </w:pPr>
    </w:p>
    <w:p w14:paraId="453DCA83" w14:textId="6D9CE46A" w:rsidR="00E05711" w:rsidRPr="00C4710D" w:rsidRDefault="00E05711" w:rsidP="00E05711">
      <w:pPr>
        <w:ind w:left="720"/>
      </w:pPr>
      <w:r w:rsidRPr="00C4710D">
        <w:t xml:space="preserve">Although it is true that, all other things being equal, commitment </w:t>
      </w:r>
      <w:r w:rsidR="008B4CD8" w:rsidRPr="00C4710D">
        <w:t xml:space="preserve">of a coal unit may put downward </w:t>
      </w:r>
      <w:r w:rsidRPr="00C4710D">
        <w:t xml:space="preserve">pressure on lambda, it is also true that the commitment of that coal unit to serve load over a </w:t>
      </w:r>
      <w:r w:rsidR="00B70718" w:rsidRPr="00C4710D">
        <w:t>10</w:t>
      </w:r>
      <w:r w:rsidRPr="00C4710D">
        <w:t xml:space="preserve">-day period minimizes total production costs and mitigates operational risks more effectively than relying on intra-day peaking unit starts or energy purchases on the spot market. In other words, simply taking a short-term view of the system, as Sierra Club advocates, misses the overall cost-savings for customers through SCS pool-wide dispatch, which is optimized to lower total costs over a longer time period. Reliably serving load while minimizing production costs is the goal of any responsible system operator, not maximizing or minimizing lambda for its own sake, or to influence avoided costs. A simple comparison of a coal unit’s cost relative to system lambda in a limited timeframe is an incomplete and inappropriate evaluation of the Company’s unit commitment practices and operational judgment. </w:t>
      </w:r>
    </w:p>
    <w:p w14:paraId="743AD859" w14:textId="760A2333" w:rsidR="00696525" w:rsidRPr="00C4710D" w:rsidRDefault="00696525" w:rsidP="00696525"/>
    <w:p w14:paraId="3567BD4B" w14:textId="3EEA5DA9" w:rsidR="00044740" w:rsidRPr="00C4710D" w:rsidRDefault="00044740" w:rsidP="008B56A3">
      <w:pPr>
        <w:pStyle w:val="Heading2"/>
      </w:pPr>
      <w:bookmarkStart w:id="27" w:name="_Toc59531754"/>
      <w:bookmarkEnd w:id="20"/>
      <w:r w:rsidRPr="00C4710D">
        <w:t xml:space="preserve">Fixed Priced Energy </w:t>
      </w:r>
      <w:r w:rsidR="00E26806" w:rsidRPr="00C4710D">
        <w:t>Payments</w:t>
      </w:r>
      <w:bookmarkEnd w:id="27"/>
    </w:p>
    <w:p w14:paraId="67D5C0E8" w14:textId="77777777" w:rsidR="00044740" w:rsidRPr="00C4710D" w:rsidRDefault="00044740" w:rsidP="00044740"/>
    <w:p w14:paraId="1C978EB8" w14:textId="220D579A" w:rsidR="00E05711" w:rsidRPr="00C4710D" w:rsidRDefault="00E05711" w:rsidP="00E05711">
      <w:pPr>
        <w:ind w:left="720" w:hanging="720"/>
        <w:rPr>
          <w:b/>
          <w:bCs/>
        </w:rPr>
      </w:pPr>
      <w:r w:rsidRPr="00C4710D">
        <w:rPr>
          <w:b/>
          <w:bCs/>
        </w:rPr>
        <w:t xml:space="preserve">Q. </w:t>
      </w:r>
      <w:r w:rsidRPr="00C4710D">
        <w:rPr>
          <w:b/>
          <w:bCs/>
        </w:rPr>
        <w:tab/>
        <w:t>GIPL-S-VS WITNESSES COX AND JESTER ARGUE, ON THE BASIS OF DIRECT HEARING EXCERPTS, THAT THE COMPANY AGREES THAT FIXED ENERGY PRICING IN NON-PURPA PROGRAM PPA</w:t>
      </w:r>
      <w:r w:rsidR="00FF769B" w:rsidRPr="00C4710D">
        <w:rPr>
          <w:b/>
          <w:bCs/>
        </w:rPr>
        <w:t>S</w:t>
      </w:r>
      <w:r w:rsidRPr="00C4710D">
        <w:rPr>
          <w:b/>
          <w:bCs/>
        </w:rPr>
        <w:t xml:space="preserve"> IS “AN IMPORTANT FACTOR IN THE SUCCESS OF THOSE PROGRAMS.” IS THAT AN ACCURATE CHARACTERIZATION OF THE COMPANY’S POSITION? </w:t>
      </w:r>
    </w:p>
    <w:p w14:paraId="7D4ADAF8" w14:textId="23826240" w:rsidR="00E05711" w:rsidRPr="00C4710D" w:rsidRDefault="00E05711" w:rsidP="00E05711">
      <w:pPr>
        <w:ind w:left="720" w:hanging="720"/>
      </w:pPr>
      <w:r w:rsidRPr="00C4710D">
        <w:t>A.</w:t>
      </w:r>
      <w:r w:rsidRPr="00C4710D">
        <w:tab/>
        <w:t xml:space="preserve">No. A critical distinction, and important context, that is missing from the quotation relied on by Witnesses Cox and Jester is that all fixed cost renewable PPAs are the product of a participatory process with significant oversight and control by this Commission—namely, through successful participation in IRP-approved solicitations that are designed for the benefit of Georgia Power customers. </w:t>
      </w:r>
      <w:r w:rsidR="00DF0B8C" w:rsidRPr="00C4710D">
        <w:t xml:space="preserve">In each of those programs, the Commission manages, and appropriately targets, the MW to be procured and the cost exposure to customers, in exchange for additional benefits conveyed to customers through these agreements, such as Renewable Energy Credits (“RECs”) and long term commitments. GIPL-S-VS argue for something fundamentally different: long-term, fixed-price PURPA contracts that cannot be limited or controlled by the Commission, and without the conveyance of any additional value to Georgia Power customers (like RECs or committed resources). As discussed in our direct and rebuttal testimonies, in 1994 this Commission itself recognized the significant customer risks posed by long-term fixed price </w:t>
      </w:r>
      <w:r w:rsidR="006210C1" w:rsidRPr="00C4710D">
        <w:t>payments</w:t>
      </w:r>
      <w:r w:rsidR="00DF0B8C" w:rsidRPr="00C4710D">
        <w:t>—an insightful position that has been upheld by FERC twice this year alone.</w:t>
      </w:r>
    </w:p>
    <w:p w14:paraId="59D49E42" w14:textId="77777777" w:rsidR="00044740" w:rsidRPr="00C4710D" w:rsidRDefault="00044740" w:rsidP="00044740">
      <w:pPr>
        <w:rPr>
          <w:b/>
          <w:bCs/>
        </w:rPr>
      </w:pPr>
    </w:p>
    <w:p w14:paraId="4CC83BB8" w14:textId="77777777" w:rsidR="00044740" w:rsidRPr="00C4710D" w:rsidRDefault="00044740" w:rsidP="00044740">
      <w:pPr>
        <w:ind w:left="720" w:hanging="720"/>
        <w:rPr>
          <w:b/>
          <w:bCs/>
        </w:rPr>
      </w:pPr>
      <w:r w:rsidRPr="00C4710D">
        <w:rPr>
          <w:b/>
          <w:bCs/>
        </w:rPr>
        <w:t xml:space="preserve">Q. </w:t>
      </w:r>
      <w:r w:rsidRPr="00C4710D">
        <w:rPr>
          <w:b/>
          <w:bCs/>
        </w:rPr>
        <w:tab/>
        <w:t>IS STAFF CORRECT THAT SMALLER QFS (BETWEEN 250 KV AND 3MW) “HAVE THE FEWEST OPTIONS FOR SELLING CAPACITY AND ENERGY, AS THEY ARE UNLIKELY TO WIN RFPS”?</w:t>
      </w:r>
    </w:p>
    <w:p w14:paraId="38A7D158" w14:textId="5BFFF715" w:rsidR="00044740" w:rsidRPr="00C4710D" w:rsidRDefault="00044740" w:rsidP="00044740">
      <w:pPr>
        <w:ind w:left="720" w:hanging="720"/>
      </w:pPr>
      <w:r w:rsidRPr="00C4710D">
        <w:t>A.</w:t>
      </w:r>
      <w:r w:rsidRPr="00C4710D">
        <w:tab/>
      </w:r>
      <w:r w:rsidR="00DB26DA" w:rsidRPr="00C4710D">
        <w:t>No. This is a puzzling conclusion, particularly given the Commission’s recent approval of programs targeting the procurement of energy from 210 MW of solar QFs smaller than 3 MW.</w:t>
      </w:r>
      <w:r w:rsidR="002973E4" w:rsidRPr="00C4710D">
        <w:t xml:space="preserve"> </w:t>
      </w:r>
      <w:r w:rsidR="00DB26DA" w:rsidRPr="00C4710D">
        <w:t>By definition</w:t>
      </w:r>
      <w:r w:rsidR="00401AD2" w:rsidRPr="00C4710D">
        <w:t>,</w:t>
      </w:r>
      <w:r w:rsidR="00DB26DA" w:rsidRPr="00C4710D">
        <w:t xml:space="preserve"> these fixed priced programs will be supplied by smaller QFs, creating a market specifically for QFs of this size. Additionally, this Commission has a long history of providing opportunities for smaller solar QFs, as evidenced by robust participation in the Renewable Energy Development Initiative (“REDI”) and Advanced Solar Initiative (“ASI”) distributed generation (DG) programs, with QFs online and under PPAs representing nearly 300 MW and over 500 projects, the majority of which are smaller than 1 MW in capacity. Indeed, this Commission has created one of the nation’s leading markets for smaller QFs, allowing them the opportunity to compete with similarly situated renewable generators for long</w:t>
      </w:r>
      <w:r w:rsidR="00D50322" w:rsidRPr="00C4710D">
        <w:t>-</w:t>
      </w:r>
      <w:r w:rsidR="00DB26DA" w:rsidRPr="00C4710D">
        <w:t>term fixed prices that include valuation for the committed capacity they provide</w:t>
      </w:r>
      <w:r w:rsidRPr="00C4710D">
        <w:t>.</w:t>
      </w:r>
    </w:p>
    <w:p w14:paraId="1916EC19" w14:textId="77777777" w:rsidR="00044740" w:rsidRPr="00C4710D" w:rsidRDefault="00044740" w:rsidP="00044740">
      <w:pPr>
        <w:ind w:left="720" w:hanging="720"/>
      </w:pPr>
    </w:p>
    <w:p w14:paraId="5D43F7AF" w14:textId="43BE8411" w:rsidR="00E05711" w:rsidRPr="00C4710D" w:rsidRDefault="00E05711" w:rsidP="00E05711">
      <w:pPr>
        <w:ind w:left="720" w:hanging="720"/>
        <w:rPr>
          <w:b/>
          <w:bCs/>
        </w:rPr>
      </w:pPr>
      <w:r w:rsidRPr="00C4710D">
        <w:rPr>
          <w:b/>
          <w:bCs/>
        </w:rPr>
        <w:t>Q.</w:t>
      </w:r>
      <w:r w:rsidRPr="00C4710D">
        <w:rPr>
          <w:b/>
          <w:bCs/>
        </w:rPr>
        <w:tab/>
        <w:t xml:space="preserve">EVEN IF STAFF’S ASSERTION WERE TRUE, IS ESTABLISHING A FIXED-PRICE </w:t>
      </w:r>
      <w:r w:rsidR="00D50322" w:rsidRPr="00C4710D">
        <w:rPr>
          <w:b/>
          <w:bCs/>
        </w:rPr>
        <w:t xml:space="preserve">ENERGY </w:t>
      </w:r>
      <w:r w:rsidRPr="00C4710D">
        <w:rPr>
          <w:b/>
          <w:bCs/>
        </w:rPr>
        <w:t>CONTRACT NECESSARY TO ENCOURAGE A SMALL QF, OR A QF OF ANY SIZE, WHILE STILL COMPLYING WITH PURPA?</w:t>
      </w:r>
    </w:p>
    <w:p w14:paraId="1381DE73" w14:textId="4F03B56B" w:rsidR="00E05711" w:rsidRPr="00C4710D" w:rsidRDefault="00E05711" w:rsidP="00E05711">
      <w:pPr>
        <w:ind w:left="720" w:hanging="720"/>
      </w:pPr>
      <w:r w:rsidRPr="00C4710D">
        <w:t>A.</w:t>
      </w:r>
      <w:r w:rsidR="002973E4" w:rsidRPr="00C4710D">
        <w:t xml:space="preserve"> </w:t>
      </w:r>
      <w:r w:rsidRPr="00C4710D">
        <w:tab/>
      </w:r>
      <w:r w:rsidR="00857D65" w:rsidRPr="00C4710D">
        <w:t>No, fixed energy prices are neither necessary nor required. This Commission expressly rejected fixed price energy contracts as too risky for customers. Specifically, in its 1994 Final Order, this Commission concluded that a fixed energy formula, as opposed to a fixed energy payment, “can better ensure ratepayer indifference.”</w:t>
      </w:r>
      <w:r w:rsidR="00857D65" w:rsidRPr="00C4710D">
        <w:rPr>
          <w:rStyle w:val="FootnoteReference"/>
        </w:rPr>
        <w:footnoteReference w:id="7"/>
      </w:r>
      <w:r w:rsidR="00857D65" w:rsidRPr="00C4710D">
        <w:t xml:space="preserve"> Although Staff correctly notes that the Commission reserved the option to accommodate fixed price payments in “particular circumstances,” as the Commission itself emphasized, however, any such accommodation would necessarily have to be through the RFP process.</w:t>
      </w:r>
      <w:r w:rsidR="00857D65" w:rsidRPr="00C4710D">
        <w:rPr>
          <w:rStyle w:val="FootnoteReference"/>
        </w:rPr>
        <w:footnoteReference w:id="8"/>
      </w:r>
      <w:r w:rsidR="00857D65" w:rsidRPr="00C4710D">
        <w:t xml:space="preserve"> To be clear, GIPL-S-VS advocates for much more expansive changes: long-term fixed priced energy contracts entered outside any IRP-based solicitation, and thus, without any meaningful Commission oversight or ability to regulate. As this Commission sensibly recognized in 1994, and FERC affirmed this year in Order Nos. 872 and Order 872-A, fixed price energy payments impose too many risks onto customers</w:t>
      </w:r>
      <w:r w:rsidRPr="00C4710D">
        <w:t>.</w:t>
      </w:r>
    </w:p>
    <w:p w14:paraId="348CFC60" w14:textId="77777777" w:rsidR="00044740" w:rsidRPr="00C4710D" w:rsidRDefault="00044740" w:rsidP="00044740">
      <w:pPr>
        <w:ind w:left="720" w:hanging="720"/>
      </w:pPr>
    </w:p>
    <w:p w14:paraId="7A0A9AEB" w14:textId="77777777" w:rsidR="00E05711" w:rsidRPr="00C4710D" w:rsidRDefault="00E05711" w:rsidP="00E05711">
      <w:pPr>
        <w:ind w:left="720" w:hanging="720"/>
        <w:rPr>
          <w:b/>
          <w:bCs/>
        </w:rPr>
      </w:pPr>
      <w:r w:rsidRPr="00C4710D">
        <w:rPr>
          <w:b/>
          <w:bCs/>
        </w:rPr>
        <w:t xml:space="preserve">Q. </w:t>
      </w:r>
      <w:r w:rsidRPr="00C4710D">
        <w:rPr>
          <w:b/>
          <w:bCs/>
        </w:rPr>
        <w:tab/>
        <w:t xml:space="preserve">JUST SO THAT IT IS CLEAR: CAN YOU ILLUSTRATE THE SIGNIFICANT FINANCIAL RISKS TO CUSTOMERS FROM FIXED PRICED CONTRACTS, PARTICULARLY IF OUTSIDE OF THE RFP PROCESS AND THE COMMISSION’S CONTROL? </w:t>
      </w:r>
    </w:p>
    <w:p w14:paraId="03E625D5" w14:textId="05B6C590" w:rsidR="00E05711" w:rsidRPr="00C4710D" w:rsidRDefault="00E05711" w:rsidP="00E05711">
      <w:pPr>
        <w:ind w:left="720" w:hanging="720"/>
      </w:pPr>
      <w:r w:rsidRPr="00C4710D">
        <w:t xml:space="preserve">A. </w:t>
      </w:r>
      <w:r w:rsidRPr="00C4710D">
        <w:tab/>
      </w:r>
      <w:r w:rsidR="00D70EE6" w:rsidRPr="00C4710D">
        <w:t xml:space="preserve">Yes. In </w:t>
      </w:r>
      <w:r w:rsidR="00D70EE6" w:rsidRPr="00C4710D">
        <w:rPr>
          <w:rFonts w:eastAsia="MS Mincho"/>
          <w:bCs/>
        </w:rPr>
        <w:t>Exhibit JRG/</w:t>
      </w:r>
      <w:r w:rsidR="00090AA6" w:rsidRPr="00C4710D">
        <w:rPr>
          <w:rFonts w:eastAsia="MS Mincho"/>
          <w:bCs/>
        </w:rPr>
        <w:t>A</w:t>
      </w:r>
      <w:r w:rsidR="00D70EE6" w:rsidRPr="00C4710D">
        <w:rPr>
          <w:rFonts w:eastAsia="MS Mincho"/>
          <w:bCs/>
        </w:rPr>
        <w:t xml:space="preserve">WM/JBW – S1 </w:t>
      </w:r>
      <w:r w:rsidR="00D70EE6" w:rsidRPr="00C4710D">
        <w:t>to our</w:t>
      </w:r>
      <w:r w:rsidR="00401AD2" w:rsidRPr="00C4710D">
        <w:t xml:space="preserve"> surrebuttal</w:t>
      </w:r>
      <w:r w:rsidR="00D70EE6" w:rsidRPr="00C4710D">
        <w:t xml:space="preserve"> testimony we provide an example of the financial impact to our customers if the Commission had allowed a QF to obtain long-term fixed-priced energy payments locked</w:t>
      </w:r>
      <w:r w:rsidR="005B624A" w:rsidRPr="00C4710D">
        <w:t>-</w:t>
      </w:r>
      <w:r w:rsidR="00D70EE6" w:rsidRPr="00C4710D">
        <w:t xml:space="preserve">in at 2011 projected avoided cost prices. </w:t>
      </w:r>
      <w:r w:rsidR="0029112F" w:rsidRPr="00C4710D">
        <w:t>The</w:t>
      </w:r>
      <w:r w:rsidR="00D70EE6" w:rsidRPr="00C4710D">
        <w:t xml:space="preserve"> year </w:t>
      </w:r>
      <w:r w:rsidR="0029112F" w:rsidRPr="00C4710D">
        <w:t xml:space="preserve">2011 </w:t>
      </w:r>
      <w:r w:rsidR="00D70EE6" w:rsidRPr="00C4710D">
        <w:t xml:space="preserve">was chosen both to illustrate the impact of higher natural gas prices on the Company’s avoided costs and to emphasize that such prices are well within recent memory and, in the case of long-term PPAs, would have imposed significant excess costs onto our customers for decades. For example, as this </w:t>
      </w:r>
      <w:r w:rsidR="0029112F" w:rsidRPr="00C4710D">
        <w:t>e</w:t>
      </w:r>
      <w:r w:rsidR="00D70EE6" w:rsidRPr="00C4710D">
        <w:t>xhibit clearly demonstrates, had a QF been able to lock-in fixed energy payments in 2011 when natural gas spot prices were elevated, customers today would be potentially overpaying for that same energy by more than triple the amount. Approval of fixed energy price payments is only appropriate through the IRP process, when all risks, costs, and benefits to customers can be holistically considered. Offering fixed energy prices through uncapped, must</w:t>
      </w:r>
      <w:r w:rsidR="0029112F" w:rsidRPr="00C4710D">
        <w:t>-</w:t>
      </w:r>
      <w:r w:rsidR="00D70EE6" w:rsidRPr="00C4710D">
        <w:t>take QF Standard Offer Contracts exposes Georgia Power customers to significant price risk, which is a terrible idea</w:t>
      </w:r>
      <w:r w:rsidRPr="00C4710D">
        <w:t>.</w:t>
      </w:r>
    </w:p>
    <w:p w14:paraId="61761E5B" w14:textId="2677B3F5" w:rsidR="00683821" w:rsidRPr="00C4710D" w:rsidRDefault="00D66935" w:rsidP="001B46EF">
      <w:pPr>
        <w:pStyle w:val="Heading1"/>
        <w:jc w:val="center"/>
        <w:rPr>
          <w:rFonts w:cs="Times New Roman"/>
          <w:szCs w:val="24"/>
          <w:u w:val="single"/>
        </w:rPr>
      </w:pPr>
      <w:bookmarkStart w:id="28" w:name="_Toc58467597"/>
      <w:bookmarkStart w:id="29" w:name="_Toc59531755"/>
      <w:r w:rsidRPr="00C4710D">
        <w:rPr>
          <w:rFonts w:cs="Times New Roman"/>
          <w:szCs w:val="24"/>
          <w:u w:val="single"/>
        </w:rPr>
        <w:t xml:space="preserve">AVOIDED CAPACITY </w:t>
      </w:r>
      <w:r w:rsidR="00B50AC4" w:rsidRPr="00C4710D">
        <w:rPr>
          <w:rFonts w:cs="Times New Roman"/>
          <w:szCs w:val="24"/>
          <w:u w:val="single"/>
        </w:rPr>
        <w:t>ISSUES</w:t>
      </w:r>
      <w:bookmarkEnd w:id="28"/>
      <w:bookmarkEnd w:id="29"/>
    </w:p>
    <w:p w14:paraId="2445DA83" w14:textId="77777777" w:rsidR="00E368A8" w:rsidRPr="00C4710D" w:rsidRDefault="00E368A8" w:rsidP="00E368A8"/>
    <w:p w14:paraId="4460CD1D" w14:textId="4B75E6AD" w:rsidR="007E7084" w:rsidRPr="00C4710D" w:rsidRDefault="007E7084" w:rsidP="007E7084">
      <w:pPr>
        <w:pStyle w:val="Heading2"/>
      </w:pPr>
      <w:bookmarkStart w:id="30" w:name="_Toc59531756"/>
      <w:bookmarkStart w:id="31" w:name="_Toc58467598"/>
      <w:bookmarkStart w:id="32" w:name="_Toc58467600"/>
      <w:r w:rsidRPr="00C4710D">
        <w:t>Capacity Payment Proposals and PURPA Compliance</w:t>
      </w:r>
      <w:bookmarkEnd w:id="30"/>
      <w:r w:rsidRPr="00C4710D">
        <w:t xml:space="preserve"> </w:t>
      </w:r>
    </w:p>
    <w:p w14:paraId="50A99F76" w14:textId="77777777" w:rsidR="007E7084" w:rsidRPr="00C4710D" w:rsidRDefault="007E7084" w:rsidP="007E7084"/>
    <w:p w14:paraId="1657481D" w14:textId="77777777" w:rsidR="007E7084" w:rsidRPr="00C4710D" w:rsidRDefault="007E7084" w:rsidP="007E7084">
      <w:pPr>
        <w:pStyle w:val="Heading3"/>
      </w:pPr>
      <w:r w:rsidRPr="00C4710D">
        <w:t>Generally</w:t>
      </w:r>
    </w:p>
    <w:p w14:paraId="2D7636A3" w14:textId="77777777" w:rsidR="007E7084" w:rsidRPr="00C4710D" w:rsidRDefault="007E7084" w:rsidP="007E7084">
      <w:pPr>
        <w:ind w:left="720" w:hanging="720"/>
        <w:rPr>
          <w:b/>
          <w:bCs/>
        </w:rPr>
      </w:pPr>
    </w:p>
    <w:p w14:paraId="1476BF05" w14:textId="6C0225E9" w:rsidR="00E05711" w:rsidRPr="00C4710D" w:rsidRDefault="00E05711" w:rsidP="00E05711">
      <w:pPr>
        <w:ind w:left="720" w:hanging="720"/>
        <w:rPr>
          <w:b/>
          <w:bCs/>
        </w:rPr>
      </w:pPr>
      <w:bookmarkStart w:id="33" w:name="_Hlk58828734"/>
      <w:r w:rsidRPr="00C4710D">
        <w:rPr>
          <w:b/>
          <w:bCs/>
        </w:rPr>
        <w:t xml:space="preserve">Q. </w:t>
      </w:r>
      <w:r w:rsidRPr="00C4710D">
        <w:rPr>
          <w:b/>
          <w:bCs/>
        </w:rPr>
        <w:tab/>
        <w:t xml:space="preserve">PLEASE SUMMARIZE THE DIFFERENT PROPOSALS FROM STAFF AND INTERVENORS THAT WOULD CHANGE WHEN AND HOW A QF COULD RECEIVE AN AVOIDED CAPACITY PAYMENT. </w:t>
      </w:r>
    </w:p>
    <w:p w14:paraId="2A8ACC41" w14:textId="41F75BD1" w:rsidR="00E05711" w:rsidRPr="00C4710D" w:rsidRDefault="00E05711" w:rsidP="00E05711">
      <w:pPr>
        <w:ind w:left="720" w:hanging="720"/>
      </w:pPr>
      <w:r w:rsidRPr="00C4710D">
        <w:t>A.</w:t>
      </w:r>
      <w:r w:rsidRPr="00C4710D">
        <w:tab/>
        <w:t>Various intervenors argue that a QF should receive (1) capacity payments before the year of need;</w:t>
      </w:r>
      <w:r w:rsidRPr="00C4710D">
        <w:rPr>
          <w:rStyle w:val="FootnoteReference"/>
        </w:rPr>
        <w:footnoteReference w:id="9"/>
      </w:r>
      <w:r w:rsidRPr="00C4710D">
        <w:t xml:space="preserve"> (2) payments for capacity procured above the target reserve margin;</w:t>
      </w:r>
      <w:r w:rsidRPr="00C4710D">
        <w:rPr>
          <w:rStyle w:val="FootnoteReference"/>
        </w:rPr>
        <w:footnoteReference w:id="10"/>
      </w:r>
      <w:r w:rsidRPr="00C4710D">
        <w:t xml:space="preserve"> and essentially, (3) capacity payments regardless of any commitment or availability assurances from the QF.</w:t>
      </w:r>
      <w:r w:rsidRPr="00C4710D">
        <w:rPr>
          <w:rStyle w:val="FootnoteReference"/>
        </w:rPr>
        <w:footnoteReference w:id="11"/>
      </w:r>
      <w:r w:rsidRPr="00C4710D">
        <w:t xml:space="preserve"> </w:t>
      </w:r>
      <w:r w:rsidR="00411D0E" w:rsidRPr="00C4710D">
        <w:t xml:space="preserve">Staff, in turn, agrees with intervenors that solar QF resources in particular should receive capacity payments when generating while the Company has a capacity need, apparently ignoring </w:t>
      </w:r>
      <w:r w:rsidR="008B593E" w:rsidRPr="00C4710D">
        <w:t xml:space="preserve">Georgia’s IRP Statute </w:t>
      </w:r>
      <w:r w:rsidR="00411D0E" w:rsidRPr="00C4710D">
        <w:t xml:space="preserve">and </w:t>
      </w:r>
      <w:r w:rsidR="008B593E" w:rsidRPr="00C4710D">
        <w:t xml:space="preserve">the </w:t>
      </w:r>
      <w:r w:rsidR="00411D0E" w:rsidRPr="00C4710D">
        <w:t>Commission</w:t>
      </w:r>
      <w:r w:rsidR="008B593E" w:rsidRPr="00C4710D">
        <w:t>’s own IRP and RFP rules</w:t>
      </w:r>
      <w:r w:rsidR="00411D0E" w:rsidRPr="00C4710D">
        <w:t xml:space="preserve"> that are designed to cost-effectively address capacity needs utilizing a variety of resource types</w:t>
      </w:r>
      <w:r w:rsidRPr="00C4710D">
        <w:t>.</w:t>
      </w:r>
      <w:r w:rsidRPr="00C4710D">
        <w:rPr>
          <w:rStyle w:val="FootnoteReference"/>
        </w:rPr>
        <w:footnoteReference w:id="12"/>
      </w:r>
      <w:r w:rsidRPr="00C4710D">
        <w:t xml:space="preserve"> </w:t>
      </w:r>
    </w:p>
    <w:p w14:paraId="29CA9E40" w14:textId="77777777" w:rsidR="00E05711" w:rsidRPr="00C4710D" w:rsidRDefault="00E05711" w:rsidP="00E05711">
      <w:pPr>
        <w:ind w:left="720" w:hanging="720"/>
      </w:pPr>
    </w:p>
    <w:p w14:paraId="5D25BF69" w14:textId="501EBFE9" w:rsidR="00E05711" w:rsidRPr="00C4710D" w:rsidRDefault="00E05711" w:rsidP="00E05711">
      <w:pPr>
        <w:ind w:left="720" w:hanging="720"/>
        <w:rPr>
          <w:b/>
          <w:bCs/>
        </w:rPr>
      </w:pPr>
      <w:r w:rsidRPr="00C4710D">
        <w:rPr>
          <w:b/>
          <w:bCs/>
        </w:rPr>
        <w:t xml:space="preserve">Q. </w:t>
      </w:r>
      <w:r w:rsidRPr="00C4710D">
        <w:rPr>
          <w:b/>
          <w:bCs/>
        </w:rPr>
        <w:tab/>
        <w:t xml:space="preserve">GENERALLY SPEAKING, WHAT ARE YOUR CONCERNS WITH THESE VARIOUS PROPOSALS? </w:t>
      </w:r>
    </w:p>
    <w:p w14:paraId="0C2D07E6" w14:textId="1FE491A7" w:rsidR="00E05711" w:rsidRPr="00C4710D" w:rsidRDefault="00E05711" w:rsidP="00E05711">
      <w:pPr>
        <w:ind w:left="720" w:hanging="720"/>
      </w:pPr>
      <w:r w:rsidRPr="00C4710D">
        <w:t xml:space="preserve">A. </w:t>
      </w:r>
      <w:r w:rsidRPr="00C4710D">
        <w:tab/>
        <w:t>Each of these capacity proposals should be rejected as (1) inconsistent with PURPA and this Commission’s longstanding PURPA implementation</w:t>
      </w:r>
      <w:r w:rsidR="00E20664" w:rsidRPr="00C4710D">
        <w:t>;</w:t>
      </w:r>
      <w:r w:rsidRPr="00C4710D">
        <w:t xml:space="preserve"> (2) adverse to this Commission’s statute- and regulatory-based IRP and competitive procurement regulations; (3) raising potential system reliability concerns; (4) unnecessarily costly to customers; and (5) unadoptable in any event without effectively amending this Commission’s well-established RFP </w:t>
      </w:r>
      <w:r w:rsidR="00A30D84" w:rsidRPr="00C4710D">
        <w:t>R</w:t>
      </w:r>
      <w:r w:rsidRPr="00C4710D">
        <w:t xml:space="preserve">ule. </w:t>
      </w:r>
    </w:p>
    <w:p w14:paraId="3694B37C" w14:textId="77777777" w:rsidR="00E05711" w:rsidRPr="00C4710D" w:rsidRDefault="00E05711" w:rsidP="00E05711">
      <w:pPr>
        <w:ind w:left="720" w:hanging="720"/>
        <w:rPr>
          <w:b/>
          <w:bCs/>
        </w:rPr>
      </w:pPr>
    </w:p>
    <w:p w14:paraId="01B666FB" w14:textId="77777777" w:rsidR="00E05711" w:rsidRPr="00C4710D" w:rsidRDefault="00E05711" w:rsidP="00E05711">
      <w:pPr>
        <w:ind w:left="720" w:hanging="720"/>
        <w:rPr>
          <w:b/>
          <w:bCs/>
        </w:rPr>
      </w:pPr>
      <w:r w:rsidRPr="00C4710D">
        <w:rPr>
          <w:b/>
          <w:bCs/>
        </w:rPr>
        <w:t xml:space="preserve">Q. </w:t>
      </w:r>
      <w:r w:rsidRPr="00C4710D">
        <w:rPr>
          <w:b/>
          <w:bCs/>
        </w:rPr>
        <w:tab/>
        <w:t xml:space="preserve">PLEASE EXPLAIN HOW THESE PROPOSALS ARE INCONSISTENT WITH PURPA AND THIS COMMISSION’S PURPA IMPLEMENTATION. </w:t>
      </w:r>
    </w:p>
    <w:p w14:paraId="4D9950DF" w14:textId="1D23610B" w:rsidR="00E05711" w:rsidRPr="00C4710D" w:rsidRDefault="00E05711" w:rsidP="00E05711">
      <w:pPr>
        <w:ind w:left="720" w:hanging="720"/>
      </w:pPr>
      <w:r w:rsidRPr="00C4710D">
        <w:t>A.</w:t>
      </w:r>
      <w:r w:rsidRPr="00C4710D">
        <w:tab/>
        <w:t>As we explained extensively in our direct and rebuttal testimonies,</w:t>
      </w:r>
      <w:r w:rsidRPr="00C4710D">
        <w:rPr>
          <w:rStyle w:val="FootnoteReference"/>
        </w:rPr>
        <w:footnoteReference w:id="13"/>
      </w:r>
      <w:r w:rsidRPr="00C4710D">
        <w:t xml:space="preserve"> FERC has issued two landmark orders in 2020 declaring, among other things, that QF capacity purchases do not avoid capacity costs if no capacity need exists. In other words, “if a purchasing utility avoids no capacity costs due to the QF purchase, then the avoided cost for capacity will be zero.”</w:t>
      </w:r>
      <w:r w:rsidRPr="00C4710D">
        <w:rPr>
          <w:rStyle w:val="FootnoteReference"/>
        </w:rPr>
        <w:footnoteReference w:id="14"/>
      </w:r>
      <w:r w:rsidRPr="00C4710D">
        <w:t xml:space="preserve"> </w:t>
      </w:r>
      <w:r w:rsidR="00BC3B91" w:rsidRPr="00C4710D">
        <w:t xml:space="preserve">When capacity </w:t>
      </w:r>
      <w:r w:rsidR="00BC3B91" w:rsidRPr="00C4710D">
        <w:rPr>
          <w:i/>
          <w:iCs/>
        </w:rPr>
        <w:t>is</w:t>
      </w:r>
      <w:r w:rsidR="00BC3B91" w:rsidRPr="00C4710D">
        <w:t xml:space="preserve"> needed, the</w:t>
      </w:r>
      <w:r w:rsidR="002973E4" w:rsidRPr="00C4710D">
        <w:t xml:space="preserve"> </w:t>
      </w:r>
      <w:r w:rsidR="00BC3B91" w:rsidRPr="00C4710D">
        <w:t>IRP process provides a statutory-based, longstanding, and time-tested regulatory framework</w:t>
      </w:r>
      <w:r w:rsidR="002973E4" w:rsidRPr="00C4710D">
        <w:t xml:space="preserve"> </w:t>
      </w:r>
      <w:r w:rsidR="00BC3B91" w:rsidRPr="00C4710D">
        <w:t>for identifying capacity needs</w:t>
      </w:r>
      <w:r w:rsidR="00681740" w:rsidRPr="00C4710D">
        <w:t xml:space="preserve"> </w:t>
      </w:r>
      <w:r w:rsidR="00BC3B91" w:rsidRPr="00C4710D">
        <w:t>and cost-effectively meeting them through competitive RFPs. Significantly, FERC specifically singled out competitive solicitation processes (such as Georgia’s) as a means of providing a level playing field for QFs and cost-effectively determining avoided costs.</w:t>
      </w:r>
      <w:r w:rsidR="00BC3B91" w:rsidRPr="00C4710D">
        <w:rPr>
          <w:rStyle w:val="FootnoteReference"/>
        </w:rPr>
        <w:footnoteReference w:id="15"/>
      </w:r>
      <w:r w:rsidR="00BC3B91" w:rsidRPr="00C4710D">
        <w:t xml:space="preserve"> </w:t>
      </w:r>
      <w:r w:rsidRPr="00C4710D">
        <w:t>With tremendous foresight, both this Commission and Public Interest Advocacy Staff in 1994 acknowledged the importance of tying QF capacity payments to RFP participation to meet IRP-identified needs.</w:t>
      </w:r>
      <w:r w:rsidRPr="00C4710D">
        <w:rPr>
          <w:rStyle w:val="FootnoteReference"/>
        </w:rPr>
        <w:footnoteReference w:id="16"/>
      </w:r>
      <w:r w:rsidRPr="00C4710D">
        <w:t xml:space="preserve"> Requiring capacity payments to be paid to a QF outside of this carefully crafted statutory and regulatory framework creates an unlevel playing-field that benefits QFs at the expense of Georgia Power customers and in violation of PURPA and this Commission’s precedent and rules.</w:t>
      </w:r>
      <w:r w:rsidR="009A58ED" w:rsidRPr="00C4710D">
        <w:t xml:space="preserve"> </w:t>
      </w:r>
    </w:p>
    <w:p w14:paraId="0DC062DE" w14:textId="77777777" w:rsidR="00E05711" w:rsidRPr="00C4710D" w:rsidRDefault="00E05711" w:rsidP="00E05711">
      <w:pPr>
        <w:ind w:left="720" w:hanging="720"/>
      </w:pPr>
    </w:p>
    <w:p w14:paraId="289D9FB0" w14:textId="4A659FC5" w:rsidR="00E05711" w:rsidRPr="00C4710D" w:rsidRDefault="00E05711" w:rsidP="00E05711">
      <w:pPr>
        <w:ind w:left="720" w:hanging="720"/>
        <w:rPr>
          <w:b/>
          <w:bCs/>
        </w:rPr>
      </w:pPr>
      <w:r w:rsidRPr="00C4710D">
        <w:rPr>
          <w:b/>
          <w:bCs/>
        </w:rPr>
        <w:t xml:space="preserve">Q. </w:t>
      </w:r>
      <w:r w:rsidRPr="00C4710D">
        <w:rPr>
          <w:b/>
          <w:bCs/>
        </w:rPr>
        <w:tab/>
        <w:t xml:space="preserve">PLEASE EXPLAIN HOW THESE PROPOSALS ARE AVERSE TO THIS COMMISSION’S IRP AND RFP </w:t>
      </w:r>
      <w:r w:rsidR="00BA732A" w:rsidRPr="00C4710D">
        <w:rPr>
          <w:b/>
          <w:bCs/>
        </w:rPr>
        <w:t>RULES</w:t>
      </w:r>
      <w:r w:rsidRPr="00C4710D">
        <w:rPr>
          <w:b/>
          <w:bCs/>
        </w:rPr>
        <w:t xml:space="preserve">, AND COULD RAISE SYSTEM RELIABILITY CONCERNS. </w:t>
      </w:r>
    </w:p>
    <w:p w14:paraId="4203EFE4" w14:textId="47C4BEDB" w:rsidR="00E05711" w:rsidRPr="00C4710D" w:rsidRDefault="00E05711" w:rsidP="00E05711">
      <w:pPr>
        <w:ind w:left="720" w:hanging="720"/>
      </w:pPr>
      <w:r w:rsidRPr="00C4710D">
        <w:t xml:space="preserve">A. </w:t>
      </w:r>
      <w:r w:rsidRPr="00C4710D">
        <w:tab/>
        <w:t>Long-established Commission policies and regulations would be impacted by the capacity payment changes proposed by intervenors. First, the main concern is that these proposals jeopardize the Company’s ability to reliably</w:t>
      </w:r>
      <w:r w:rsidR="00B21F7B" w:rsidRPr="00C4710D">
        <w:t xml:space="preserve"> </w:t>
      </w:r>
      <w:r w:rsidRPr="00C4710D">
        <w:t xml:space="preserve">serve customers by undermining the Commission’s </w:t>
      </w:r>
      <w:r w:rsidR="007E3DEE" w:rsidRPr="00C4710D">
        <w:t>IRP</w:t>
      </w:r>
      <w:r w:rsidRPr="00C4710D">
        <w:t xml:space="preserve"> Rule.</w:t>
      </w:r>
      <w:r w:rsidRPr="00C4710D">
        <w:rPr>
          <w:rStyle w:val="FootnoteReference"/>
        </w:rPr>
        <w:footnoteReference w:id="17"/>
      </w:r>
      <w:r w:rsidR="002973E4" w:rsidRPr="00C4710D">
        <w:t xml:space="preserve"> </w:t>
      </w:r>
      <w:r w:rsidR="00A3523A" w:rsidRPr="00C4710D">
        <w:t xml:space="preserve">The Commission’s IRP Rule </w:t>
      </w:r>
      <w:r w:rsidR="00E71862" w:rsidRPr="00C4710D">
        <w:t xml:space="preserve">and RFP Rule </w:t>
      </w:r>
      <w:r w:rsidR="00A3523A" w:rsidRPr="00C4710D">
        <w:t xml:space="preserve">are the cornerstone for decisions related to the addition of capacity needed for customers. </w:t>
      </w:r>
      <w:r w:rsidR="00883C8F" w:rsidRPr="00C4710D">
        <w:t xml:space="preserve">By requiring a QF to participate in a capacity RFP to receive a capacity payment, the Commission’s RFP Rule ensures that a capacity payment is only paid to a QF when additional capacity is needed to serve customers. </w:t>
      </w:r>
      <w:bookmarkStart w:id="34" w:name="_Hlk59478178"/>
      <w:r w:rsidR="00883C8F" w:rsidRPr="00C4710D">
        <w:t xml:space="preserve">Second, both pro forma QF Standard Offer Contracts that offer capacity payments (the “Standard Offer Contract for the Purchase of Firm Capacity and Energy” (the “Firm Capacity and Energy PPA”) and the “Standard Contract for the Purchase of Firm Capacity and Energy from a Renewable Qualifying Facility Utilizing the Proxy Unit Methodology” (the “Proxy PPA”)) impose important delivery and availability obligations and financial incentives to ensure customers are protected. </w:t>
      </w:r>
      <w:bookmarkEnd w:id="34"/>
      <w:r w:rsidR="00883C8F" w:rsidRPr="00C4710D">
        <w:t>Controlled, IRP-approved solicitations help ensure Georgia Power is not obligated to contract for unlimited QF capacity in its must-take PURPA program for which customers would be on the hook</w:t>
      </w:r>
      <w:r w:rsidRPr="00C4710D">
        <w:t>.</w:t>
      </w:r>
      <w:r w:rsidR="002973E4" w:rsidRPr="00C4710D">
        <w:t xml:space="preserve"> </w:t>
      </w:r>
    </w:p>
    <w:p w14:paraId="2C16C636" w14:textId="77777777" w:rsidR="00E05711" w:rsidRPr="00C4710D" w:rsidRDefault="00E05711" w:rsidP="00E05711">
      <w:pPr>
        <w:ind w:left="720" w:hanging="720"/>
      </w:pPr>
    </w:p>
    <w:p w14:paraId="00BECAEE" w14:textId="4FC5CC20" w:rsidR="00E05711" w:rsidRPr="00C4710D" w:rsidRDefault="00E05711" w:rsidP="00E05711">
      <w:pPr>
        <w:ind w:left="720"/>
      </w:pPr>
      <w:r w:rsidRPr="00C4710D">
        <w:t xml:space="preserve">Third, in the case of requiring capacity purchases above the target reserve margin, and contrary to the assertions of GLSSA </w:t>
      </w:r>
      <w:r w:rsidR="004941EB" w:rsidRPr="00C4710D">
        <w:t>Wi</w:t>
      </w:r>
      <w:r w:rsidRPr="00C4710D">
        <w:t xml:space="preserve">tness Wilson, imposing such a requirement would indeed be a “drastic departure” from current and longstanding Commission practices. The Company evaluates the appropriate amount of capacity to carry every three years in the Reserve Margin Study. This study includes an assessment of the capacity amount needed to maintain system reliability, with a goal to minimize total costs for customers, and includes a risk assessment of the cost to customers versus the increased reliability gained from increasing the reserve margin above the economically optimum level. In this assessment, the Company has already determined what level of reserves strikes the right balance between minimizing costs and further reducing reliability risks through additional reserves. This Commission has oversight of the target reserve margin that is set. </w:t>
      </w:r>
      <w:r w:rsidR="00E91788" w:rsidRPr="00C4710D">
        <w:t>To require capacity purchases above and beyond the amount approved in the triennial IRP undermines this comprehensive analysis and review process</w:t>
      </w:r>
      <w:r w:rsidR="00FF02AA" w:rsidRPr="00C4710D">
        <w:t xml:space="preserve"> that already determines the appropriate amount of capacity needed to maintain system reliability</w:t>
      </w:r>
      <w:r w:rsidRPr="00C4710D">
        <w:t>.</w:t>
      </w:r>
      <w:r w:rsidR="002973E4" w:rsidRPr="00C4710D">
        <w:t xml:space="preserve"> </w:t>
      </w:r>
    </w:p>
    <w:p w14:paraId="47F13787" w14:textId="77777777" w:rsidR="00D54482" w:rsidRPr="00C4710D" w:rsidRDefault="00D54482" w:rsidP="00E05711">
      <w:pPr>
        <w:ind w:left="720" w:hanging="720"/>
      </w:pPr>
    </w:p>
    <w:p w14:paraId="50990AB2" w14:textId="6F855546" w:rsidR="00E05711" w:rsidRPr="00C4710D" w:rsidRDefault="00E05711" w:rsidP="00E05711">
      <w:pPr>
        <w:ind w:left="720" w:hanging="720"/>
      </w:pPr>
      <w:r w:rsidRPr="00C4710D">
        <w:tab/>
        <w:t>GLSSA Witness</w:t>
      </w:r>
      <w:r w:rsidR="00E07423" w:rsidRPr="00C4710D">
        <w:t xml:space="preserve"> </w:t>
      </w:r>
      <w:r w:rsidRPr="00C4710D">
        <w:t>Wilson states “customers benefit from (a) reduced reliability-related costs, (b) reduced fuel costs due to income that Georgia Power may earn by selling excess capacity on the bilateral market, particularly during periods of regional demand shortages, and (c) retirement of excess capacity and avoidance of associated fixed operating and maintenance costs….”</w:t>
      </w:r>
      <w:r w:rsidR="00B949D5" w:rsidRPr="00C4710D">
        <w:rPr>
          <w:rStyle w:val="FootnoteReference"/>
        </w:rPr>
        <w:footnoteReference w:id="18"/>
      </w:r>
      <w:r w:rsidRPr="00C4710D">
        <w:t xml:space="preserve"> Each of these suggestions would raise risks for customers. For (a)</w:t>
      </w:r>
      <w:r w:rsidR="00453CDA" w:rsidRPr="00C4710D">
        <w:t xml:space="preserve">, </w:t>
      </w:r>
      <w:r w:rsidRPr="00C4710D">
        <w:t xml:space="preserve">we have explained that, although there </w:t>
      </w:r>
      <w:r w:rsidR="00C224DE" w:rsidRPr="00C4710D">
        <w:t xml:space="preserve">may be </w:t>
      </w:r>
      <w:r w:rsidRPr="00C4710D">
        <w:t>value to having resources above the target reserve margin, there is no avoidance of costs for customers.</w:t>
      </w:r>
      <w:r w:rsidR="002973E4" w:rsidRPr="00C4710D">
        <w:t xml:space="preserve"> </w:t>
      </w:r>
      <w:r w:rsidRPr="00C4710D">
        <w:t xml:space="preserve">In response to (b), we believe that to pay a QF for unneeded capacity </w:t>
      </w:r>
      <w:r w:rsidRPr="00C4710D">
        <w:rPr>
          <w:i/>
          <w:iCs/>
        </w:rPr>
        <w:t>is</w:t>
      </w:r>
      <w:r w:rsidRPr="00C4710D">
        <w:t xml:space="preserve"> a drastic reversal in policy and </w:t>
      </w:r>
      <w:r w:rsidR="008D41B4" w:rsidRPr="00C4710D">
        <w:t>certainly increases</w:t>
      </w:r>
      <w:r w:rsidRPr="00C4710D">
        <w:t xml:space="preserve"> risk to our customers. For (c), the Commission and the Company have never asked customers to pay for capacity that is not currently needed in order to </w:t>
      </w:r>
      <w:r w:rsidRPr="00C4710D">
        <w:rPr>
          <w:i/>
          <w:iCs/>
        </w:rPr>
        <w:t>potentially</w:t>
      </w:r>
      <w:r w:rsidRPr="00C4710D">
        <w:rPr>
          <w:rStyle w:val="CommentReference"/>
          <w:rFonts w:ascii="Arial" w:hAnsi="Arial"/>
          <w:szCs w:val="20"/>
        </w:rPr>
        <w:t/>
      </w:r>
      <w:r w:rsidRPr="00C4710D">
        <w:rPr>
          <w:i/>
          <w:iCs/>
        </w:rPr>
        <w:t xml:space="preserve"> </w:t>
      </w:r>
      <w:r w:rsidRPr="00C4710D">
        <w:t xml:space="preserve">retire other generating units. Rather, the precedent is to procure </w:t>
      </w:r>
      <w:r w:rsidR="00D75B45" w:rsidRPr="00C4710D">
        <w:t xml:space="preserve">only </w:t>
      </w:r>
      <w:r w:rsidRPr="00C4710D">
        <w:t xml:space="preserve">the amount of capacity needed to replace retired units after a retirement decision has been made. Paying for unneeded capacity in hopes that these three wishful options will avoid costs for customers is risky, contrary to the reasoned judgment of this Commission’s policies, and unwarranted. </w:t>
      </w:r>
    </w:p>
    <w:p w14:paraId="1A3C34D5" w14:textId="77777777" w:rsidR="00E05711" w:rsidRPr="00C4710D" w:rsidRDefault="00E05711" w:rsidP="00E05711">
      <w:pPr>
        <w:ind w:left="720" w:hanging="720"/>
      </w:pPr>
    </w:p>
    <w:p w14:paraId="17D99017" w14:textId="0C404582" w:rsidR="00E91788" w:rsidRPr="00C4710D" w:rsidRDefault="000268A9" w:rsidP="00E91788">
      <w:pPr>
        <w:ind w:left="720"/>
      </w:pPr>
      <w:r w:rsidRPr="00C4710D">
        <w:t>Finally, paying for unneeded capacity could also jeopardize reliability. A QF always enjoys the ability to sell energy to the Company on an as-available basis. Adding the ability to sell capacity to the Company on an as-available basis (without a corresponding need and with no obligation to be available during times of reliability need), which is what intervenors are proposing, incents uncapped, unplanned and unsolicited QF additions. This proposal is inconsistent with state and federal requirements, as explained above, and increases system reliability concerns. Capacity additions are much easier to manage if planned and accommodated through the statutorily required IRP process, and this Commission, not self-interested project developers, is the appropriate body to oversee such resource planning and accommodation in the interest of customers. To require the Company to offer to purchase capacity through the QF Standard Offer Contracts outside of a planned procurement process, when those resources</w:t>
      </w:r>
      <w:r w:rsidR="002973E4" w:rsidRPr="00C4710D">
        <w:t xml:space="preserve"> </w:t>
      </w:r>
      <w:r w:rsidRPr="00C4710D">
        <w:t>are not required to be, or may even be incapable of being, available for customers when needed, simply adds costs and risks to customers while providing very little benefit</w:t>
      </w:r>
      <w:r w:rsidR="00E91788" w:rsidRPr="00C4710D">
        <w:t>.</w:t>
      </w:r>
    </w:p>
    <w:p w14:paraId="7274323C" w14:textId="77777777" w:rsidR="00E05711" w:rsidRPr="00C4710D" w:rsidRDefault="00E05711" w:rsidP="00E05711">
      <w:pPr>
        <w:ind w:left="720"/>
      </w:pPr>
    </w:p>
    <w:p w14:paraId="6EB82287" w14:textId="77777777" w:rsidR="00E05711" w:rsidRPr="00C4710D" w:rsidRDefault="00E05711" w:rsidP="00E05711">
      <w:pPr>
        <w:ind w:left="720" w:hanging="720"/>
        <w:rPr>
          <w:b/>
          <w:bCs/>
        </w:rPr>
      </w:pPr>
      <w:r w:rsidRPr="00C4710D">
        <w:rPr>
          <w:b/>
          <w:bCs/>
        </w:rPr>
        <w:t xml:space="preserve">Q. </w:t>
      </w:r>
      <w:r w:rsidRPr="00C4710D">
        <w:rPr>
          <w:b/>
          <w:bCs/>
        </w:rPr>
        <w:tab/>
        <w:t>PLEASE EXPLAIN HOW THESE PROPOSALS WOULD LIKELY IMPOSE UNNECESSARY COSTS ON CUSTOMERS.</w:t>
      </w:r>
    </w:p>
    <w:p w14:paraId="29118344" w14:textId="69256453" w:rsidR="00E05711" w:rsidRPr="00C4710D" w:rsidRDefault="00E05711" w:rsidP="00E05711">
      <w:pPr>
        <w:ind w:left="720" w:hanging="720"/>
      </w:pPr>
      <w:r w:rsidRPr="00C4710D">
        <w:t xml:space="preserve">A. </w:t>
      </w:r>
      <w:r w:rsidRPr="00C4710D">
        <w:tab/>
      </w:r>
      <w:r w:rsidR="00F967C3" w:rsidRPr="00C4710D">
        <w:t xml:space="preserve">By definition, one does not save any money by paying for something that is neither needed nor required. Intervenor and Staff recommendations that would require the Company to pay for unneeded capacity, whether above the target reserve margin or prior to the year of need, neither save customers money, nor comply with PURPA’s avoided cost cap. </w:t>
      </w:r>
      <w:r w:rsidRPr="00C4710D">
        <w:t>Although Staff at least correctly acknowledges that purchasing such capacity is not “a utility avoided cost that must be compensated under PURPA,”</w:t>
      </w:r>
      <w:r w:rsidRPr="00C4710D">
        <w:rPr>
          <w:rStyle w:val="FootnoteReference"/>
        </w:rPr>
        <w:footnoteReference w:id="19"/>
      </w:r>
      <w:r w:rsidRPr="00C4710D">
        <w:t xml:space="preserve"> GLSSA </w:t>
      </w:r>
      <w:r w:rsidR="007C7C99" w:rsidRPr="00C4710D">
        <w:t>W</w:t>
      </w:r>
      <w:r w:rsidRPr="00C4710D">
        <w:t>itness</w:t>
      </w:r>
      <w:r w:rsidR="004C7D82" w:rsidRPr="00C4710D">
        <w:t xml:space="preserve"> </w:t>
      </w:r>
      <w:r w:rsidRPr="00C4710D">
        <w:t>Wilson appears to ignore PURPA’s requirements entirely by arguing that avoided cost rates should include payment for purported reliability benefits, as opposed to tangible costs avoided.</w:t>
      </w:r>
      <w:r w:rsidRPr="00C4710D">
        <w:rPr>
          <w:rStyle w:val="FootnoteReference"/>
        </w:rPr>
        <w:footnoteReference w:id="20"/>
      </w:r>
      <w:r w:rsidRPr="00C4710D">
        <w:t xml:space="preserve"> </w:t>
      </w:r>
      <w:r w:rsidR="00E91788" w:rsidRPr="00C4710D">
        <w:t>Even assuming the existence of reliability benefits as argued by Staff and intervenors, QF avoided costs rates cannot be set higher than avoided costs based on non-energy benefits that a QF may also provide, something FERC reiterated in its Order No. 872,</w:t>
      </w:r>
      <w:r w:rsidR="00E91788" w:rsidRPr="00C4710D">
        <w:rPr>
          <w:rStyle w:val="FootnoteReference"/>
        </w:rPr>
        <w:footnoteReference w:id="21"/>
      </w:r>
      <w:r w:rsidR="00E91788" w:rsidRPr="00C4710D">
        <w:t xml:space="preserve"> and that we emphasized in our rebuttal testimony.</w:t>
      </w:r>
      <w:r w:rsidR="00E91788" w:rsidRPr="00C4710D">
        <w:rPr>
          <w:rStyle w:val="FootnoteReference"/>
        </w:rPr>
        <w:footnoteReference w:id="22"/>
      </w:r>
    </w:p>
    <w:p w14:paraId="1FE582AD" w14:textId="77777777" w:rsidR="00E05711" w:rsidRPr="00C4710D" w:rsidRDefault="00E05711" w:rsidP="00E05711">
      <w:pPr>
        <w:ind w:left="720" w:hanging="720"/>
      </w:pPr>
    </w:p>
    <w:p w14:paraId="42D2D873" w14:textId="77777777" w:rsidR="00E05711" w:rsidRPr="00C4710D" w:rsidRDefault="00E05711" w:rsidP="00E05711">
      <w:pPr>
        <w:ind w:left="720" w:hanging="720"/>
        <w:rPr>
          <w:b/>
          <w:bCs/>
        </w:rPr>
      </w:pPr>
      <w:r w:rsidRPr="00C4710D">
        <w:rPr>
          <w:b/>
          <w:bCs/>
        </w:rPr>
        <w:t xml:space="preserve">Q. </w:t>
      </w:r>
      <w:r w:rsidRPr="00C4710D">
        <w:rPr>
          <w:b/>
          <w:bCs/>
        </w:rPr>
        <w:tab/>
        <w:t xml:space="preserve">EVEN IF THESE CAPACITY PROPOSALS DID NOT FAIL ON THEIR MERITS, PLEASE EXPLAIN THE PROCEDURAL IMPEDIMENTS TO ADOPTING THEM IN THIS PROCEEDING. </w:t>
      </w:r>
    </w:p>
    <w:p w14:paraId="2DC6970F" w14:textId="4827F8AB" w:rsidR="00E05711" w:rsidRPr="00C4710D" w:rsidRDefault="00E05711" w:rsidP="00E05711">
      <w:pPr>
        <w:ind w:left="720" w:hanging="720"/>
      </w:pPr>
      <w:r w:rsidRPr="00C4710D">
        <w:t xml:space="preserve">A. </w:t>
      </w:r>
      <w:r w:rsidRPr="00C4710D">
        <w:tab/>
      </w:r>
      <w:r w:rsidR="00046BE8" w:rsidRPr="00C4710D">
        <w:t>Unacknowledged in the various avoided capacity cost proposals raised by intervenors in this proceeding is the fact that requiring the Company to make QF capacity purchases outside of the Commission’s RFP Rule would require the Commission to initiate an entirely new proceeding. Specifically, the Commission would need to issue a Notice of Proposed Rulemaking to revise its RFP Rule to address the proposed requirement to purchase capacity from certain QFs outside of an RFP. Thus, in addition to failing on their merits, these proposals face additional procedural hurdles. Neither intervenors nor Staff have adequately addressed these concerns</w:t>
      </w:r>
      <w:r w:rsidRPr="00C4710D">
        <w:t>.</w:t>
      </w:r>
      <w:r w:rsidR="002973E4" w:rsidRPr="00C4710D">
        <w:t xml:space="preserve"> </w:t>
      </w:r>
    </w:p>
    <w:p w14:paraId="369DE7C7" w14:textId="4C5CE607" w:rsidR="00F22C76" w:rsidRPr="00C4710D" w:rsidRDefault="00F22C76">
      <w:pPr>
        <w:spacing w:line="240" w:lineRule="auto"/>
        <w:jc w:val="left"/>
        <w:rPr>
          <w:b/>
          <w:bCs/>
        </w:rPr>
      </w:pPr>
    </w:p>
    <w:p w14:paraId="1145A101" w14:textId="77777777" w:rsidR="007E7084" w:rsidRPr="00C4710D" w:rsidRDefault="007E7084" w:rsidP="00F22C76">
      <w:pPr>
        <w:pStyle w:val="Heading3"/>
        <w:ind w:left="1710" w:hanging="270"/>
      </w:pPr>
      <w:r w:rsidRPr="00C4710D">
        <w:t xml:space="preserve">Relevant Considerations for Determining Avoided Capacity Costs </w:t>
      </w:r>
      <w:bookmarkEnd w:id="31"/>
    </w:p>
    <w:bookmarkEnd w:id="33"/>
    <w:p w14:paraId="373E51F8" w14:textId="77777777" w:rsidR="007E7084" w:rsidRPr="00C4710D" w:rsidRDefault="007E7084" w:rsidP="007E7084">
      <w:pPr>
        <w:ind w:left="720" w:hanging="720"/>
        <w:rPr>
          <w:b/>
          <w:bCs/>
        </w:rPr>
      </w:pPr>
    </w:p>
    <w:p w14:paraId="034D34F5" w14:textId="7CD1C3A0" w:rsidR="00F6227B" w:rsidRPr="00C4710D" w:rsidRDefault="00F6227B" w:rsidP="00F6227B">
      <w:pPr>
        <w:ind w:left="720" w:hanging="720"/>
        <w:rPr>
          <w:b/>
          <w:bCs/>
        </w:rPr>
      </w:pPr>
      <w:r w:rsidRPr="00C4710D">
        <w:rPr>
          <w:b/>
          <w:bCs/>
        </w:rPr>
        <w:t xml:space="preserve">Q. </w:t>
      </w:r>
      <w:r w:rsidRPr="00C4710D">
        <w:rPr>
          <w:b/>
          <w:bCs/>
        </w:rPr>
        <w:tab/>
        <w:t xml:space="preserve">STAFF AND GLSSA WITNESS WILSON ARGUE THAT A QF SHOULD BE COMPENSATED FOR “CAPACITY VALUE” AND “RELIABILITY VALUE.” IS THAT APPROPRIATE UNDER PURPA? </w:t>
      </w:r>
    </w:p>
    <w:p w14:paraId="43F53AD9" w14:textId="0795E167" w:rsidR="00F6227B" w:rsidRPr="00C4710D" w:rsidRDefault="00F6227B" w:rsidP="00F6227B">
      <w:pPr>
        <w:ind w:left="720" w:hanging="720"/>
      </w:pPr>
      <w:r w:rsidRPr="00C4710D">
        <w:t xml:space="preserve">A. </w:t>
      </w:r>
      <w:r w:rsidRPr="00C4710D">
        <w:tab/>
        <w:t>As noted above, “reliability value,” even if such value were clearly established</w:t>
      </w:r>
      <w:r w:rsidR="00921C40" w:rsidRPr="00C4710D">
        <w:t xml:space="preserve">, </w:t>
      </w:r>
      <w:r w:rsidRPr="00C4710D">
        <w:t>is a non-energy benefit that does not represent any real costs avoided</w:t>
      </w:r>
      <w:r w:rsidR="00E26BB1" w:rsidRPr="00C4710D">
        <w:t xml:space="preserve">. Such a value </w:t>
      </w:r>
      <w:r w:rsidRPr="00C4710D">
        <w:t xml:space="preserve">is not suitable for compensation under PURPA. Similarly, whether a QF can be compensated for its “capacity value” is entirely dependent upon whether Georgia Power can </w:t>
      </w:r>
      <w:r w:rsidR="00CC0740" w:rsidRPr="00C4710D">
        <w:t>rely</w:t>
      </w:r>
      <w:r w:rsidRPr="00C4710D">
        <w:t xml:space="preserve"> on and plan around the generation. That means the QF’s capacity must be offered and considered through an IRP-based solicitation and committed to deliver through a binding contract with set availability commitments. A QF obtaining an Energy and Capacity PPA, or a Proxy PPA, through a Commission-approved RFP pursuant to the RFP Rule meets </w:t>
      </w:r>
      <w:r w:rsidR="00E26BB1" w:rsidRPr="00C4710D">
        <w:t>these</w:t>
      </w:r>
      <w:r w:rsidRPr="00C4710D">
        <w:t xml:space="preserve"> required criteria.</w:t>
      </w:r>
    </w:p>
    <w:p w14:paraId="68EC28F1" w14:textId="77777777" w:rsidR="007E7084" w:rsidRPr="00C4710D" w:rsidRDefault="007E7084" w:rsidP="007E7084">
      <w:pPr>
        <w:rPr>
          <w:b/>
          <w:bCs/>
        </w:rPr>
      </w:pPr>
    </w:p>
    <w:p w14:paraId="780AC5BB" w14:textId="1E83E33C" w:rsidR="00C94AE5" w:rsidRPr="00C4710D" w:rsidRDefault="00C94AE5" w:rsidP="00C94AE5">
      <w:pPr>
        <w:ind w:left="720" w:hanging="720"/>
        <w:rPr>
          <w:b/>
          <w:bCs/>
        </w:rPr>
      </w:pPr>
      <w:r w:rsidRPr="00C4710D">
        <w:rPr>
          <w:b/>
          <w:bCs/>
        </w:rPr>
        <w:t xml:space="preserve">Q. </w:t>
      </w:r>
      <w:r w:rsidRPr="00C4710D">
        <w:rPr>
          <w:b/>
          <w:bCs/>
        </w:rPr>
        <w:tab/>
        <w:t>GIPL</w:t>
      </w:r>
      <w:r w:rsidR="001C1E53" w:rsidRPr="00C4710D">
        <w:rPr>
          <w:b/>
          <w:bCs/>
        </w:rPr>
        <w:t xml:space="preserve">-S-VS </w:t>
      </w:r>
      <w:r w:rsidRPr="00C4710D">
        <w:rPr>
          <w:b/>
          <w:bCs/>
        </w:rPr>
        <w:t>ARGUE THAT THERE IS NO OBLIGATION FOR PURCHASED CAPACITY TO BE “FIRM.</w:t>
      </w:r>
      <w:r w:rsidR="0007590B" w:rsidRPr="00C4710D">
        <w:rPr>
          <w:b/>
          <w:bCs/>
        </w:rPr>
        <w:t>”</w:t>
      </w:r>
      <w:r w:rsidRPr="00C4710D">
        <w:rPr>
          <w:b/>
          <w:bCs/>
        </w:rPr>
        <w:t xml:space="preserve"> WHAT DO YOU SAY TO THAT? </w:t>
      </w:r>
    </w:p>
    <w:p w14:paraId="505091BE" w14:textId="5E70697D" w:rsidR="00C94AE5" w:rsidRPr="00C4710D" w:rsidRDefault="00C94AE5" w:rsidP="00C94AE5">
      <w:pPr>
        <w:ind w:left="720" w:hanging="720"/>
      </w:pPr>
      <w:r w:rsidRPr="00C4710D">
        <w:t>A.</w:t>
      </w:r>
      <w:r w:rsidR="002973E4" w:rsidRPr="00C4710D">
        <w:t xml:space="preserve"> </w:t>
      </w:r>
      <w:r w:rsidRPr="00C4710D">
        <w:tab/>
        <w:t>GIP</w:t>
      </w:r>
      <w:r w:rsidR="00D758FF" w:rsidRPr="00C4710D">
        <w:t>L-S-VS</w:t>
      </w:r>
      <w:r w:rsidRPr="00C4710D">
        <w:t xml:space="preserve"> appear to misunderstand the context in which the term “firm” is used by a large utility like Southern Company. In the case of PURPA avoided capacity </w:t>
      </w:r>
      <w:r w:rsidR="009E05A9" w:rsidRPr="00C4710D">
        <w:t>payments</w:t>
      </w:r>
      <w:r w:rsidRPr="00C4710D">
        <w:t xml:space="preserve">, “firmness” refers to the resource’s contractual and financial commitment to be available to provide capacity during times of identified reliability need. </w:t>
      </w:r>
      <w:r w:rsidR="009E05A9" w:rsidRPr="00C4710D">
        <w:t>In that sense “firm” means that the generator has made a firm and binding contractual commitment to meet the availability requirements established and approved by the Commission in the relevant RFP and PPA. Because of this firmness/availability commitment, the Company can then incorporate the QF’s generation into its planning models and future IRPs. As discussed in the Company’s previous testimony, the ability to plan around firm generator commitments is the key prerequisite to obtaining capacity payments through Commission-approved RFPs</w:t>
      </w:r>
      <w:r w:rsidRPr="00C4710D">
        <w:t>.</w:t>
      </w:r>
    </w:p>
    <w:p w14:paraId="590E277E" w14:textId="77777777" w:rsidR="007E7084" w:rsidRPr="00C4710D" w:rsidRDefault="007E7084" w:rsidP="007E7084">
      <w:pPr>
        <w:rPr>
          <w:rFonts w:ascii="Times New Roman Bold" w:hAnsi="Times New Roman Bold"/>
          <w:b/>
          <w:caps/>
        </w:rPr>
      </w:pPr>
    </w:p>
    <w:p w14:paraId="0F0DEA70" w14:textId="505C9E9A" w:rsidR="007E7084" w:rsidRPr="00C4710D" w:rsidRDefault="007E7084" w:rsidP="007E7084">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GLSSA Witness Wilson claims that Company WitnessES agreed that the Commission could SET AVOIDED CAPACITY COSTS ABOVE ZERO IN A MANNER CONSISTENT WITH PURPA AND THE “ECONOMIC PRINCIPLES” ESPOUSED BY WILSON. IS THAT AN ACCURATE CHARACTERIZATION OF THE </w:t>
      </w:r>
      <w:r w:rsidR="00F06D63" w:rsidRPr="00C4710D">
        <w:rPr>
          <w:rFonts w:ascii="Times New Roman Bold" w:hAnsi="Times New Roman Bold"/>
          <w:b/>
          <w:caps/>
        </w:rPr>
        <w:t xml:space="preserve">COMPANY </w:t>
      </w:r>
      <w:r w:rsidRPr="00C4710D">
        <w:rPr>
          <w:rFonts w:ascii="Times New Roman Bold" w:hAnsi="Times New Roman Bold"/>
          <w:b/>
          <w:caps/>
        </w:rPr>
        <w:t>WITNESS</w:t>
      </w:r>
      <w:r w:rsidR="003C27EC" w:rsidRPr="00C4710D">
        <w:rPr>
          <w:rFonts w:ascii="Times New Roman Bold" w:hAnsi="Times New Roman Bold"/>
          <w:b/>
          <w:caps/>
        </w:rPr>
        <w:t>ES</w:t>
      </w:r>
      <w:r w:rsidRPr="00C4710D">
        <w:rPr>
          <w:rFonts w:ascii="Times New Roman Bold" w:hAnsi="Times New Roman Bold"/>
          <w:b/>
          <w:caps/>
        </w:rPr>
        <w:t>’ DIRECT HEARING STATEMENTS?</w:t>
      </w:r>
    </w:p>
    <w:p w14:paraId="7A1CF219" w14:textId="6D00AA5C" w:rsidR="00C83A17" w:rsidRPr="00C4710D" w:rsidRDefault="007E7084" w:rsidP="007E7084">
      <w:pPr>
        <w:ind w:left="720" w:hanging="720"/>
      </w:pPr>
      <w:r w:rsidRPr="00C4710D">
        <w:rPr>
          <w:bCs/>
        </w:rPr>
        <w:t>A.</w:t>
      </w:r>
      <w:r w:rsidRPr="00C4710D">
        <w:rPr>
          <w:bCs/>
        </w:rPr>
        <w:tab/>
      </w:r>
      <w:r w:rsidR="00C94AE5" w:rsidRPr="00C4710D">
        <w:rPr>
          <w:bCs/>
        </w:rPr>
        <w:t>No. Mr. Wilson is relying on incomplete statements taken out of context to make a strained argument that is wholly unsupported by PURPA. Mr. Wilson first argues that Georgia Power Witness Jeffrey Grubb agreed that it would be within the jurisdiction of the Commission to set the avoided cost capacity rate above zero under certain conditions. That statement, however, was in response to a lengthy hypothetical question setting out numerous pre-conditions to having an above-zero avoided capacity rate. Mr. Grubb explained, however, that even in the situation presented, no costs were avoided.</w:t>
      </w:r>
      <w:r w:rsidR="00C94AE5" w:rsidRPr="00C4710D">
        <w:rPr>
          <w:rStyle w:val="FootnoteReference"/>
          <w:bCs/>
        </w:rPr>
        <w:footnoteReference w:id="23"/>
      </w:r>
      <w:r w:rsidR="00C94AE5" w:rsidRPr="00C4710D">
        <w:rPr>
          <w:bCs/>
        </w:rPr>
        <w:t xml:space="preserve"> For the sake of clarity: if Mr. Wilson’s</w:t>
      </w:r>
      <w:r w:rsidR="00C94AE5" w:rsidRPr="00C4710D">
        <w:t xml:space="preserve"> assertion is that Georgia Power agrees that the Commission </w:t>
      </w:r>
      <w:r w:rsidRPr="00C4710D">
        <w:t xml:space="preserve">can </w:t>
      </w:r>
      <w:r w:rsidR="00CA696F" w:rsidRPr="00C4710D">
        <w:t xml:space="preserve">require Georgia Power customers to pay more than avoided cost </w:t>
      </w:r>
      <w:r w:rsidR="00F06D63" w:rsidRPr="00C4710D">
        <w:t>under</w:t>
      </w:r>
      <w:r w:rsidR="00CA696F" w:rsidRPr="00C4710D">
        <w:t xml:space="preserve"> its PURPA contracts, then Georgia Power does not agree. Rather, Georgia Power agrees with the clear statements made in FERC Order 872, and again in Order 872-A that was issued after the direct hearing: “if a purchasing utility avoids no capacity costs due to the QF purchase, then the avoided cost for capacity </w:t>
      </w:r>
      <w:r w:rsidR="00CA696F" w:rsidRPr="00C4710D">
        <w:rPr>
          <w:i/>
          <w:iCs/>
        </w:rPr>
        <w:t>will be</w:t>
      </w:r>
      <w:r w:rsidR="00CA696F" w:rsidRPr="00C4710D">
        <w:t xml:space="preserve"> zero.”</w:t>
      </w:r>
      <w:r w:rsidR="00CA696F" w:rsidRPr="00C4710D">
        <w:rPr>
          <w:rStyle w:val="FootnoteReference"/>
        </w:rPr>
        <w:footnoteReference w:id="24"/>
      </w:r>
      <w:r w:rsidR="00CA696F" w:rsidRPr="00C4710D">
        <w:t xml:space="preserve"> </w:t>
      </w:r>
    </w:p>
    <w:p w14:paraId="7CB451DE" w14:textId="77777777" w:rsidR="00CB3901" w:rsidRPr="00C4710D" w:rsidRDefault="00CB3901" w:rsidP="00C83A17">
      <w:pPr>
        <w:ind w:left="720"/>
      </w:pPr>
    </w:p>
    <w:p w14:paraId="23E7801D" w14:textId="070F9ADA" w:rsidR="007E7084" w:rsidRPr="00C4710D" w:rsidRDefault="00CA696F" w:rsidP="00C83A17">
      <w:pPr>
        <w:ind w:left="720"/>
      </w:pPr>
      <w:r w:rsidRPr="00C4710D">
        <w:t xml:space="preserve">Mr. Wilson’s second characterization similarly falls flat. Mr. Wilson argues that Georgia Power </w:t>
      </w:r>
      <w:r w:rsidR="00103E7F" w:rsidRPr="00C4710D">
        <w:t>W</w:t>
      </w:r>
      <w:r w:rsidRPr="00C4710D">
        <w:t xml:space="preserve">itness Jeffrey Weathers agreed with the fundamental economic principles underlying Mr. Wilson’s argument when Mr. Weathers stated, in response to a question related to reserve margin studies, </w:t>
      </w:r>
      <w:r w:rsidR="00E05711" w:rsidRPr="00C4710D">
        <w:t>that “[g]enerally, if the cost of capacity is cheaper on an economic basis then it will be more economic for customers to carry a larger number of reserves.”</w:t>
      </w:r>
      <w:r w:rsidR="002973E4" w:rsidRPr="00C4710D">
        <w:t xml:space="preserve"> </w:t>
      </w:r>
      <w:r w:rsidR="00E91788" w:rsidRPr="00C4710D">
        <w:t xml:space="preserve">While this </w:t>
      </w:r>
      <w:r w:rsidR="00C83A17" w:rsidRPr="00C4710D">
        <w:t xml:space="preserve">statement </w:t>
      </w:r>
      <w:r w:rsidR="00E91788" w:rsidRPr="00C4710D">
        <w:t>is true in the context of the Company’s Reserve Margin Study where the reserve margin is based on the minimization of total costs, including incremental capacity costs, production costs, and reliability costs, t</w:t>
      </w:r>
      <w:bookmarkStart w:id="35" w:name="_Hlk59198616"/>
      <w:r w:rsidR="00E91788" w:rsidRPr="00C4710D">
        <w:t>he core of a PURPA avoided cost proceeding is identifying and accounting for the costs that are actually avoided by QF generation—not costs that, like tempting pasta discounts, are not required to be incurred</w:t>
      </w:r>
      <w:bookmarkEnd w:id="35"/>
      <w:r w:rsidR="00E91788" w:rsidRPr="00C4710D">
        <w:t>.</w:t>
      </w:r>
    </w:p>
    <w:p w14:paraId="032A9F92" w14:textId="77777777" w:rsidR="007E7084" w:rsidRPr="00C4710D" w:rsidRDefault="007E7084" w:rsidP="007E7084">
      <w:pPr>
        <w:pStyle w:val="ListParagraph"/>
      </w:pPr>
    </w:p>
    <w:p w14:paraId="15385F03" w14:textId="77777777" w:rsidR="007E7084" w:rsidRPr="00C4710D" w:rsidRDefault="007E7084" w:rsidP="007E7084">
      <w:pPr>
        <w:pStyle w:val="Heading3"/>
      </w:pPr>
      <w:bookmarkStart w:id="36" w:name="_Toc58467599"/>
      <w:r w:rsidRPr="00C4710D">
        <w:t xml:space="preserve">Valuing Capacity: ICE Factor vs. ELCC </w:t>
      </w:r>
      <w:bookmarkEnd w:id="36"/>
    </w:p>
    <w:p w14:paraId="2EA1A7B2" w14:textId="77777777" w:rsidR="007E7084" w:rsidRPr="00C4710D" w:rsidRDefault="007E7084" w:rsidP="007E7084">
      <w:pPr>
        <w:rPr>
          <w:rFonts w:ascii="Times New Roman Bold" w:hAnsi="Times New Roman Bold"/>
          <w:b/>
          <w:caps/>
        </w:rPr>
      </w:pPr>
    </w:p>
    <w:p w14:paraId="0AAB2B96" w14:textId="27FAB53C" w:rsidR="007E7084" w:rsidRPr="00C4710D" w:rsidRDefault="007E7084" w:rsidP="007E7084">
      <w:pPr>
        <w:ind w:left="720" w:hanging="720"/>
        <w:rPr>
          <w:b/>
          <w:bCs/>
        </w:rPr>
      </w:pPr>
      <w:r w:rsidRPr="00C4710D">
        <w:rPr>
          <w:b/>
          <w:bCs/>
        </w:rPr>
        <w:t xml:space="preserve">Q. </w:t>
      </w:r>
      <w:r w:rsidRPr="00C4710D">
        <w:rPr>
          <w:b/>
          <w:bCs/>
        </w:rPr>
        <w:tab/>
      </w:r>
      <w:r w:rsidR="00735F95" w:rsidRPr="00C4710D">
        <w:rPr>
          <w:rFonts w:ascii="Times New Roman Bold" w:hAnsi="Times New Roman Bold"/>
          <w:b/>
          <w:bCs/>
          <w:caps/>
        </w:rPr>
        <w:t xml:space="preserve">Staff and Witnesses Cox and Jester testify that the company should consider using THE Effective Load Carrying Capability (“ELCC”) method. What is THE ELCC and how does that compare to what the company currently </w:t>
      </w:r>
      <w:r w:rsidRPr="00C4710D">
        <w:rPr>
          <w:b/>
          <w:bCs/>
          <w:caps/>
        </w:rPr>
        <w:t>uses?</w:t>
      </w:r>
    </w:p>
    <w:p w14:paraId="2253369D" w14:textId="61C950A4" w:rsidR="00735F95" w:rsidRPr="00C4710D" w:rsidRDefault="00735F95" w:rsidP="00735F95">
      <w:pPr>
        <w:ind w:left="720" w:hanging="720"/>
      </w:pPr>
      <w:r w:rsidRPr="00C4710D">
        <w:t xml:space="preserve">A. </w:t>
      </w:r>
      <w:r w:rsidRPr="00C4710D">
        <w:tab/>
        <w:t xml:space="preserve">The ELCC method is a way to represent the capacity equivalence of a limited dispatch or non-dispatchable resource. The most common method of calculating the ELCC considers how a resource’s addition to the utility system impacts the ability to accommodate additional load or </w:t>
      </w:r>
      <w:r w:rsidR="000755DE" w:rsidRPr="00C4710D">
        <w:t xml:space="preserve">displace </w:t>
      </w:r>
      <w:r w:rsidRPr="00C4710D">
        <w:t xml:space="preserve">other generator capacity while maintaining the same level of reliability, typically measured by Loss of Load Expectation (“LOLE”). The Company’s Incremental Capacity Equivalent Factor (“ICE Factor”) method is </w:t>
      </w:r>
      <w:r w:rsidR="000755DE" w:rsidRPr="00C4710D">
        <w:t>a form of</w:t>
      </w:r>
      <w:r w:rsidRPr="00C4710D">
        <w:t xml:space="preserve"> ELCC calculation, as measured by Equivalent Unserved Energy (“EUE”) of the resource as compared to a dispatchable resource. </w:t>
      </w:r>
      <w:r w:rsidR="00401AD2" w:rsidRPr="00C4710D">
        <w:t>North American Reliability Corporation (“</w:t>
      </w:r>
      <w:r w:rsidRPr="00C4710D">
        <w:t>NERC</w:t>
      </w:r>
      <w:r w:rsidR="00401AD2" w:rsidRPr="00C4710D">
        <w:t>”)</w:t>
      </w:r>
      <w:r w:rsidRPr="00C4710D">
        <w:t xml:space="preserve"> recognizes that using EUE instead of LOLE is acceptable for calculating ELCC.</w:t>
      </w:r>
      <w:r w:rsidRPr="00C4710D">
        <w:rPr>
          <w:rStyle w:val="FootnoteReference"/>
        </w:rPr>
        <w:footnoteReference w:id="25"/>
      </w:r>
      <w:r w:rsidRPr="00C4710D">
        <w:t xml:space="preserve"> The Company’s ICE Factor utilizes EUE, which is a key determinant in the Company’s reliability studies. Also, unlike LOLE, EUE considers the magnitude of system reliability events.</w:t>
      </w:r>
      <w:r w:rsidRPr="00C4710D">
        <w:rPr>
          <w:rStyle w:val="FootnoteReference"/>
        </w:rPr>
        <w:footnoteReference w:id="26"/>
      </w:r>
      <w:r w:rsidRPr="00C4710D">
        <w:t xml:space="preserve"> Thus,</w:t>
      </w:r>
      <w:r w:rsidR="009949E4" w:rsidRPr="00C4710D">
        <w:t xml:space="preserve"> </w:t>
      </w:r>
      <w:r w:rsidRPr="00C4710D">
        <w:t xml:space="preserve">although both methods rely on similar approaches to arrive at the same objective, the ICE Factor method is appropriate for use both because of the consistency with the Company’s reliability studies, and because it can be approximated with the Capacity Worth Factor Table and efficiently applied to the hundreds of bids received in the Company’s numerous RFPs. </w:t>
      </w:r>
    </w:p>
    <w:p w14:paraId="1EF83B1A" w14:textId="77777777" w:rsidR="007E7084" w:rsidRPr="00C4710D" w:rsidRDefault="007E7084" w:rsidP="007E7084"/>
    <w:p w14:paraId="340029DD" w14:textId="25E2C7BD" w:rsidR="007E7084" w:rsidRPr="00C4710D" w:rsidRDefault="007E7084" w:rsidP="007E7084">
      <w:pPr>
        <w:pStyle w:val="Heading2"/>
      </w:pPr>
      <w:bookmarkStart w:id="37" w:name="_Toc59531757"/>
      <w:r w:rsidRPr="00C4710D">
        <w:t>The Commission’s Solicitation Framework</w:t>
      </w:r>
      <w:bookmarkEnd w:id="32"/>
      <w:bookmarkEnd w:id="37"/>
    </w:p>
    <w:p w14:paraId="0552DFD3" w14:textId="77777777" w:rsidR="007E7084" w:rsidRPr="00C4710D" w:rsidRDefault="007E7084" w:rsidP="007E7084"/>
    <w:p w14:paraId="34C04052" w14:textId="50E97085" w:rsidR="00512E43" w:rsidRPr="00C4710D" w:rsidRDefault="002973E4" w:rsidP="00512E43">
      <w:pPr>
        <w:ind w:left="720" w:hanging="720"/>
        <w:rPr>
          <w:rFonts w:ascii="Times New Roman Bold" w:hAnsi="Times New Roman Bold"/>
          <w:b/>
          <w:caps/>
        </w:rPr>
      </w:pPr>
      <w:bookmarkStart w:id="38" w:name="_Toc58467601"/>
      <w:r w:rsidRPr="00C4710D">
        <w:rPr>
          <w:rFonts w:ascii="Times New Roman Bold" w:hAnsi="Times New Roman Bold"/>
          <w:b/>
          <w:caps/>
        </w:rPr>
        <w:t>Q.</w:t>
      </w:r>
      <w:r w:rsidR="00512E43" w:rsidRPr="00C4710D">
        <w:rPr>
          <w:rFonts w:ascii="Arial" w:eastAsia="Calibri" w:hAnsi="Arial" w:cs="Arial"/>
          <w:color w:val="FF0000"/>
        </w:rPr>
        <w:t xml:space="preserve"> </w:t>
      </w:r>
      <w:r w:rsidR="00512E43" w:rsidRPr="00C4710D">
        <w:rPr>
          <w:rFonts w:ascii="Arial" w:eastAsia="Calibri" w:hAnsi="Arial" w:cs="Arial"/>
          <w:color w:val="FF0000"/>
        </w:rPr>
        <w:tab/>
      </w:r>
      <w:bookmarkStart w:id="39" w:name="_Hlk59289652"/>
      <w:r w:rsidR="00512E43" w:rsidRPr="00C4710D">
        <w:rPr>
          <w:rFonts w:ascii="Times New Roman Bold" w:hAnsi="Times New Roman Bold"/>
          <w:b/>
          <w:caps/>
        </w:rPr>
        <w:t xml:space="preserve">do you have a response to THE TESTIMONY OF witnesses Cox and Jester that this Commission’s RFP Rule, and therefore, Georgia Power’s competitive solicitations, do not comport with the FERC COMPETITIVE SOLICITATION REFORMS IN ORDER NO. 872 AND ARE IRRELEVANT TO THIS PROCEEDING? </w:t>
      </w:r>
    </w:p>
    <w:p w14:paraId="4E706BA5" w14:textId="436ABF48" w:rsidR="00512E43" w:rsidRPr="00C4710D" w:rsidRDefault="002973E4" w:rsidP="004944C8">
      <w:pPr>
        <w:ind w:left="720" w:hanging="720"/>
      </w:pPr>
      <w:r w:rsidRPr="00C4710D">
        <w:t>A.</w:t>
      </w:r>
      <w:r w:rsidR="00512E43" w:rsidRPr="00C4710D">
        <w:rPr>
          <w:rFonts w:ascii="Arial" w:eastAsia="Calibri" w:hAnsi="Arial" w:cs="Arial"/>
          <w:color w:val="FF0000"/>
        </w:rPr>
        <w:t xml:space="preserve"> </w:t>
      </w:r>
      <w:r w:rsidR="00512E43" w:rsidRPr="00C4710D">
        <w:rPr>
          <w:rFonts w:ascii="Arial" w:eastAsia="Calibri" w:hAnsi="Arial" w:cs="Arial"/>
          <w:color w:val="FF0000"/>
        </w:rPr>
        <w:tab/>
      </w:r>
      <w:r w:rsidR="00103E7F" w:rsidRPr="00C4710D">
        <w:t>Yes. It is a surprising allegation and also reflects a lack of due diligence by the witnesses because Georgia Power responded to STF-7-2, which specifically laid out all five factors of FERC’s Competitive Solicitation criteria, and how the Commission’s RFP Rule and process, and therefore Georgia Power’s solicitations, comply. Rather than go through them all, we will allow that data request response to speak for itself, as well as the reports of the Independent Evaluator in Georgia Power’s various solicitations, and</w:t>
      </w:r>
      <w:r w:rsidRPr="00C4710D">
        <w:t xml:space="preserve"> </w:t>
      </w:r>
      <w:r w:rsidR="00103E7F" w:rsidRPr="00C4710D">
        <w:t xml:space="preserve">subsequent FERC Orders agreeing that the Commission’s RFP process is compliant with FERC’s </w:t>
      </w:r>
      <w:r w:rsidR="00103E7F" w:rsidRPr="00C4710D">
        <w:rPr>
          <w:i/>
          <w:iCs/>
        </w:rPr>
        <w:t>Edgar/Allegheny</w:t>
      </w:r>
      <w:r w:rsidR="00103E7F" w:rsidRPr="00C4710D">
        <w:t xml:space="preserve"> standards when approving the PPAs resulting from those RFP processes.</w:t>
      </w:r>
      <w:r w:rsidR="00103E7F" w:rsidRPr="00C4710D">
        <w:rPr>
          <w:rStyle w:val="FootnoteReference"/>
        </w:rPr>
        <w:footnoteReference w:id="27"/>
      </w:r>
      <w:r w:rsidR="00103E7F" w:rsidRPr="00C4710D">
        <w:t xml:space="preserve"> </w:t>
      </w:r>
      <w:bookmarkStart w:id="40" w:name="_Hlk59374811"/>
      <w:r w:rsidR="00103E7F" w:rsidRPr="00C4710D">
        <w:t xml:space="preserve">Finally, contrary to the suggestions </w:t>
      </w:r>
      <w:r w:rsidR="00C83A17" w:rsidRPr="00C4710D">
        <w:t>by</w:t>
      </w:r>
      <w:r w:rsidR="00103E7F" w:rsidRPr="00C4710D">
        <w:t xml:space="preserve"> Cox and Jester, the centrality of competitive solicitations in establishing avoided capacity prices in particular is a fundamental aspect of this Commission’s PURPA implementation dating back to the 1994 Final Order. This Commission long ago established a respected and PURPA-compliant RFP Rule that results in the selection of appropriate capacity and energy resources for customers. That Georgia Power proposes no changes to this process does not make it any less relevant or central to how this Commission establishes avoided costs. </w:t>
      </w:r>
      <w:bookmarkEnd w:id="40"/>
      <w:r w:rsidR="00103E7F" w:rsidRPr="00C4710D">
        <w:t>If anything, the various imprudent capacity pricing proposals raised by intervenors in this proceeding casts an important spotlight on both this Commission’s sound judgment in relying on competitive solicitations for setting avoided capacity prices, as well as on FERC’s own longstanding support for such a policy</w:t>
      </w:r>
      <w:r w:rsidR="00512E43" w:rsidRPr="00C4710D">
        <w:t>.</w:t>
      </w:r>
      <w:r w:rsidR="009A58ED" w:rsidRPr="00C4710D">
        <w:t xml:space="preserve"> </w:t>
      </w:r>
    </w:p>
    <w:bookmarkEnd w:id="39"/>
    <w:p w14:paraId="040570B3" w14:textId="77777777" w:rsidR="00512E43" w:rsidRPr="00C4710D" w:rsidRDefault="00512E43" w:rsidP="00512E43">
      <w:pPr>
        <w:pStyle w:val="ListParagraph"/>
      </w:pPr>
    </w:p>
    <w:p w14:paraId="5FC143EA" w14:textId="77777777" w:rsidR="00512E43" w:rsidRPr="00C4710D" w:rsidRDefault="00512E43" w:rsidP="00512E43">
      <w:pPr>
        <w:ind w:left="720" w:hanging="720"/>
        <w:rPr>
          <w:b/>
          <w:bCs/>
        </w:rPr>
      </w:pPr>
      <w:r w:rsidRPr="00C4710D">
        <w:rPr>
          <w:b/>
          <w:bCs/>
        </w:rPr>
        <w:t xml:space="preserve">Q. </w:t>
      </w:r>
      <w:r w:rsidRPr="00C4710D">
        <w:rPr>
          <w:b/>
          <w:bCs/>
        </w:rPr>
        <w:tab/>
        <w:t xml:space="preserve">WHAT IS THE VALUE CREATED FOR CUSTOMERS BY GEORGIA POWER PROCURING MUCH OF ITS RENEWABLE ENERGY THROUGH COMPETITIVE SOLICITATIONS? </w:t>
      </w:r>
    </w:p>
    <w:p w14:paraId="14574D64" w14:textId="3B8B767A" w:rsidR="00512E43" w:rsidRPr="00C4710D" w:rsidRDefault="00512E43" w:rsidP="00512E43">
      <w:pPr>
        <w:ind w:left="720" w:hanging="720"/>
      </w:pPr>
      <w:r w:rsidRPr="00C4710D">
        <w:t xml:space="preserve">A. </w:t>
      </w:r>
      <w:r w:rsidRPr="00C4710D">
        <w:tab/>
        <w:t xml:space="preserve">This Commission has created a portfolio of contracting options, each reflecting varying levels of compromise between the compensation price offered to generators (amount and variability), the availability of the facility’s generation, and the overall contractual quid pro quo consideration offered to our customers. </w:t>
      </w:r>
      <w:r w:rsidR="001F6732" w:rsidRPr="00C4710D">
        <w:t xml:space="preserve">This Commission has demonstrated foresight in creating these programs, in recognition of requests like the ones made by intervenors in this proceeding. </w:t>
      </w:r>
      <w:r w:rsidRPr="00C4710D">
        <w:t xml:space="preserve">Through the IRP process, the Commission painstakingly considers the overall costs and benefits to customers of adding renewable generation, and then approves appropriate programs to strike a fair balance of providing financeable and attractive contracts to the renewable market, while ensuring adequate value is delivered to Georgia Power customers. </w:t>
      </w:r>
    </w:p>
    <w:p w14:paraId="74409F96" w14:textId="77777777" w:rsidR="00512E43" w:rsidRPr="00C4710D" w:rsidRDefault="00512E43" w:rsidP="00512E43">
      <w:pPr>
        <w:pStyle w:val="ListParagraph"/>
      </w:pPr>
    </w:p>
    <w:p w14:paraId="6E37286A" w14:textId="315E7260" w:rsidR="00512E43" w:rsidRPr="00C4710D" w:rsidRDefault="00512E43" w:rsidP="00512E43">
      <w:pPr>
        <w:ind w:left="720" w:hanging="720"/>
        <w:rPr>
          <w:b/>
          <w:bCs/>
        </w:rPr>
      </w:pPr>
      <w:r w:rsidRPr="00C4710D">
        <w:rPr>
          <w:b/>
          <w:bCs/>
        </w:rPr>
        <w:t xml:space="preserve">Q. </w:t>
      </w:r>
      <w:r w:rsidRPr="00C4710D">
        <w:rPr>
          <w:b/>
          <w:bCs/>
        </w:rPr>
        <w:tab/>
        <w:t xml:space="preserve">FINALLY, IN THE COURSE OF ARGUING THAT THE COMMISSION’S RFP RULE DOES NOT COMPLY WITH ORDER NO. 872, </w:t>
      </w:r>
      <w:r w:rsidR="00123E60" w:rsidRPr="00C4710D">
        <w:rPr>
          <w:b/>
          <w:bCs/>
        </w:rPr>
        <w:t xml:space="preserve">WITNESSES </w:t>
      </w:r>
      <w:r w:rsidRPr="00C4710D">
        <w:rPr>
          <w:b/>
          <w:bCs/>
        </w:rPr>
        <w:t>COX AND JESTER INTERPRET TESTIMONY FROM GEORGIA POWER WITNESS WILSON MALLARD TO DEMONSTRATE THAT THE COMPANY IS NOT PROVIDING PUBLIC INFORMATION REGARDING PREFERRED TRANSMISSION SITES FOR INTERCONNECTION, AS REQUIRED BY THE COMMISSION’S IRP RULE. PLEASE CLARIFY YOUR STATEMENTS.</w:t>
      </w:r>
    </w:p>
    <w:p w14:paraId="55164C23" w14:textId="65499FB3" w:rsidR="00512E43" w:rsidRPr="00C4710D" w:rsidRDefault="00512E43" w:rsidP="00512E43">
      <w:pPr>
        <w:ind w:left="720" w:hanging="720"/>
      </w:pPr>
      <w:r w:rsidRPr="00C4710D">
        <w:t>A.</w:t>
      </w:r>
      <w:r w:rsidRPr="00C4710D">
        <w:tab/>
        <w:t xml:space="preserve">Southern Company complies with this IRP Rule requirement through making completed interconnection and transmission study reports available through the Southern Company Open Access Same-time Information Service (OASIS) website. Generator interconnection study reports in particular are good indicators of typical interconnection upgrades, general interconnection costs and schedules, and interconnection study results for specific points of interconnection. In the absence of initiating an individualized interconnection request (which can be costly and requires more project-specific information than developers may have available in the initial inquiry stages), interconnection study reports can provide important insights into what transmission sites may be preferred for new generation. For developers seeking yet more information, Southern Company also offers a pre-application report process that can cost-effectively provide information about the transmission system facility ratings at a specific point of interconnection on its transmission system for any customer. </w:t>
      </w:r>
    </w:p>
    <w:p w14:paraId="493C0ACC" w14:textId="31543E55" w:rsidR="007E7084" w:rsidRPr="00C4710D" w:rsidRDefault="007E7084" w:rsidP="007E7084">
      <w:pPr>
        <w:pStyle w:val="Heading2"/>
      </w:pPr>
      <w:bookmarkStart w:id="41" w:name="_Toc59531758"/>
      <w:r w:rsidRPr="00C4710D">
        <w:t xml:space="preserve">Calculation of New </w:t>
      </w:r>
      <w:bookmarkEnd w:id="38"/>
      <w:r w:rsidR="00E61CF2" w:rsidRPr="00C4710D">
        <w:t>Capacity</w:t>
      </w:r>
      <w:bookmarkEnd w:id="41"/>
    </w:p>
    <w:p w14:paraId="1F77063C" w14:textId="77777777" w:rsidR="007E7084" w:rsidRPr="00C4710D" w:rsidRDefault="007E7084" w:rsidP="007E7084">
      <w:pPr>
        <w:ind w:left="720" w:hanging="720"/>
      </w:pPr>
    </w:p>
    <w:p w14:paraId="3436E245" w14:textId="3782FA91" w:rsidR="007E7084" w:rsidRPr="00C4710D" w:rsidRDefault="007E7084" w:rsidP="007E7084">
      <w:pPr>
        <w:ind w:left="720" w:hanging="720"/>
        <w:rPr>
          <w:b/>
          <w:bCs/>
        </w:rPr>
      </w:pPr>
      <w:r w:rsidRPr="00C4710D">
        <w:rPr>
          <w:b/>
          <w:bCs/>
        </w:rPr>
        <w:t xml:space="preserve">Q. </w:t>
      </w:r>
      <w:r w:rsidRPr="00C4710D">
        <w:rPr>
          <w:b/>
          <w:bCs/>
        </w:rPr>
        <w:tab/>
      </w:r>
      <w:r w:rsidR="00FD7CB8" w:rsidRPr="00C4710D">
        <w:rPr>
          <w:b/>
          <w:bCs/>
        </w:rPr>
        <w:t xml:space="preserve">GLSSA </w:t>
      </w:r>
      <w:r w:rsidRPr="00C4710D">
        <w:rPr>
          <w:b/>
          <w:bCs/>
        </w:rPr>
        <w:t xml:space="preserve">WITNESS </w:t>
      </w:r>
      <w:r w:rsidR="008A5C17" w:rsidRPr="00C4710D">
        <w:rPr>
          <w:b/>
          <w:bCs/>
        </w:rPr>
        <w:t>WILSON PROPOSES THE USE OF A TRANSPARENT, PUBLICLY</w:t>
      </w:r>
      <w:r w:rsidR="00461629" w:rsidRPr="00C4710D">
        <w:rPr>
          <w:b/>
          <w:bCs/>
        </w:rPr>
        <w:t xml:space="preserve"> </w:t>
      </w:r>
      <w:r w:rsidR="008A5C17" w:rsidRPr="00C4710D">
        <w:rPr>
          <w:b/>
          <w:bCs/>
        </w:rPr>
        <w:t>AVAILABLE SOUTHEAST SPECIFIC VALUE FROM THE ENERGY INFORMATION ADMINISTRATION (“EIA”) FOR THE ECONOMIC CARRYING COST OF A CT WHEN</w:t>
      </w:r>
      <w:r w:rsidR="008A5C17" w:rsidRPr="00C4710D">
        <w:rPr>
          <w:b/>
          <w:bCs/>
          <w:sz w:val="22"/>
          <w:szCs w:val="22"/>
        </w:rPr>
        <w:t xml:space="preserve"> </w:t>
      </w:r>
      <w:r w:rsidR="008A5C17" w:rsidRPr="00C4710D">
        <w:rPr>
          <w:b/>
          <w:bCs/>
        </w:rPr>
        <w:t>SETTING AVOIDED CAPACITY COSTS. DO YOU HAVE ANY CONCERNS WITH THIS APPROACH?</w:t>
      </w:r>
    </w:p>
    <w:p w14:paraId="120DB36E" w14:textId="36D3550F" w:rsidR="006B4620" w:rsidRPr="00C4710D" w:rsidRDefault="007E7084" w:rsidP="006B4620">
      <w:pPr>
        <w:ind w:left="720" w:hanging="720"/>
      </w:pPr>
      <w:r w:rsidRPr="00C4710D">
        <w:t xml:space="preserve">A. </w:t>
      </w:r>
      <w:r w:rsidRPr="00C4710D">
        <w:tab/>
      </w:r>
      <w:r w:rsidR="006B4620" w:rsidRPr="00C4710D">
        <w:t>Yes, we do. As we explain in our rebuttal testimony, the Company’s estimate of the cost of a CT is based on the latest information applicable to Company-specific CTs and is updated regularly as part of the annual planning process.</w:t>
      </w:r>
      <w:r w:rsidR="002973E4" w:rsidRPr="00C4710D">
        <w:t xml:space="preserve"> </w:t>
      </w:r>
      <w:r w:rsidR="006B4620" w:rsidRPr="00C4710D">
        <w:t xml:space="preserve">Moreover, this information is based on current competitive pricing from both active and recent project development efforts within the system so this information is already tailored to address </w:t>
      </w:r>
      <w:r w:rsidR="00BE2028" w:rsidRPr="00C4710D">
        <w:t>C</w:t>
      </w:r>
      <w:r w:rsidR="006B4620" w:rsidRPr="00C4710D">
        <w:t>ompany needs and cost concerns, and is therefore much more detailed and reflective of actual avoided costs, as opposed to a regional approximation, as proposed by Wilson.</w:t>
      </w:r>
    </w:p>
    <w:p w14:paraId="2282AEDF" w14:textId="77777777" w:rsidR="008053BA" w:rsidRPr="00C4710D" w:rsidRDefault="008053BA" w:rsidP="008053BA">
      <w:pPr>
        <w:ind w:left="720" w:hanging="720"/>
      </w:pPr>
    </w:p>
    <w:p w14:paraId="0A7B64D3" w14:textId="77777777" w:rsidR="008053BA" w:rsidRPr="00C4710D" w:rsidRDefault="008053BA" w:rsidP="008053BA">
      <w:pPr>
        <w:pStyle w:val="Heading1"/>
        <w:keepNext w:val="0"/>
        <w:contextualSpacing/>
        <w:jc w:val="center"/>
        <w:rPr>
          <w:rFonts w:cs="Times New Roman"/>
          <w:bCs w:val="0"/>
          <w:szCs w:val="24"/>
          <w:u w:val="single"/>
        </w:rPr>
      </w:pPr>
      <w:bookmarkStart w:id="42" w:name="_Toc59531759"/>
      <w:r w:rsidRPr="00C4710D">
        <w:rPr>
          <w:rFonts w:cs="Times New Roman"/>
          <w:bCs w:val="0"/>
          <w:szCs w:val="24"/>
          <w:u w:val="single"/>
        </w:rPr>
        <w:t>RCB FRAMEWORK</w:t>
      </w:r>
      <w:bookmarkEnd w:id="42"/>
    </w:p>
    <w:p w14:paraId="3AD7B4E4" w14:textId="77777777" w:rsidR="008053BA" w:rsidRPr="00C4710D" w:rsidRDefault="008053BA" w:rsidP="008053BA">
      <w:pPr>
        <w:pStyle w:val="Heading2"/>
      </w:pPr>
      <w:bookmarkStart w:id="43" w:name="_Toc59531760"/>
      <w:r w:rsidRPr="00C4710D">
        <w:t>Generally</w:t>
      </w:r>
      <w:bookmarkEnd w:id="43"/>
    </w:p>
    <w:p w14:paraId="00435830" w14:textId="77777777" w:rsidR="008053BA" w:rsidRPr="00C4710D" w:rsidRDefault="008053BA" w:rsidP="008053BA">
      <w:pPr>
        <w:ind w:left="720" w:hanging="720"/>
      </w:pPr>
    </w:p>
    <w:p w14:paraId="329AD63F" w14:textId="26E51DFE" w:rsidR="008053BA" w:rsidRPr="00C4710D" w:rsidRDefault="008053BA" w:rsidP="008053BA">
      <w:pPr>
        <w:ind w:left="720" w:hanging="720"/>
        <w:rPr>
          <w:b/>
          <w:bCs/>
        </w:rPr>
      </w:pPr>
      <w:r w:rsidRPr="00C4710D">
        <w:rPr>
          <w:b/>
          <w:bCs/>
        </w:rPr>
        <w:t xml:space="preserve">Q. </w:t>
      </w:r>
      <w:r w:rsidRPr="00C4710D">
        <w:rPr>
          <w:b/>
          <w:bCs/>
        </w:rPr>
        <w:tab/>
      </w:r>
      <w:r w:rsidR="00C449E5" w:rsidRPr="00C4710D">
        <w:rPr>
          <w:b/>
          <w:bCs/>
        </w:rPr>
        <w:t xml:space="preserve">GIPL-S-VS WITNESSES </w:t>
      </w:r>
      <w:r w:rsidRPr="00C4710D">
        <w:rPr>
          <w:b/>
          <w:bCs/>
        </w:rPr>
        <w:t xml:space="preserve">COX AND JESTER CITE SEVERAL RECENT AVOIDED COST PROJECTION FILINGS, ALLEGING VARIABILITY IN THE RESULTING PROJECTIONS THAT CAUSES THEM CONCERN ABOUT THE “CONSISTENCY IN THE UNDERLYING METHODOLOGY” OF THE RCB FRAMEWORK. WHAT IS YOUR </w:t>
      </w:r>
      <w:r w:rsidR="00CD15A2" w:rsidRPr="00C4710D">
        <w:rPr>
          <w:b/>
          <w:bCs/>
        </w:rPr>
        <w:t>RESPONSE</w:t>
      </w:r>
      <w:r w:rsidRPr="00C4710D">
        <w:rPr>
          <w:b/>
          <w:bCs/>
        </w:rPr>
        <w:t>?</w:t>
      </w:r>
    </w:p>
    <w:p w14:paraId="7919FA30" w14:textId="36746726" w:rsidR="008053BA" w:rsidRPr="00C4710D" w:rsidRDefault="008053BA" w:rsidP="008053BA">
      <w:pPr>
        <w:ind w:left="720" w:hanging="720"/>
      </w:pPr>
      <w:r w:rsidRPr="00C4710D">
        <w:t>A.</w:t>
      </w:r>
      <w:r w:rsidRPr="00C4710D">
        <w:tab/>
        <w:t xml:space="preserve">Cox and Jester have once again reached the wrong conclusion. The variability among the two 2019 Avoided Cost Projections is attributable to the Company proactively correcting an inadvertent error in the December 2019 projections that led to incorrect </w:t>
      </w:r>
      <w:r w:rsidR="00FE06A2" w:rsidRPr="00C4710D">
        <w:t xml:space="preserve">renewable and non-renewable tariff (“RNR”) </w:t>
      </w:r>
      <w:r w:rsidRPr="00C4710D">
        <w:t xml:space="preserve">pricing, which was subsequently remedied by the Company. Similarly, the variability between the May and June 2020 filings is the result of the annual budget update and can largely be explained by a revised natural gas price forecast as part of that update. The September 2020 filing (i.e. our </w:t>
      </w:r>
      <w:r w:rsidR="009F2F5C" w:rsidRPr="00C4710D">
        <w:t>d</w:t>
      </w:r>
      <w:r w:rsidRPr="00C4710D">
        <w:t xml:space="preserve">irect </w:t>
      </w:r>
      <w:r w:rsidR="009F2F5C" w:rsidRPr="00C4710D">
        <w:t>t</w:t>
      </w:r>
      <w:r w:rsidRPr="00C4710D">
        <w:t>estimony Exhibit 1) was only made in response to the Procedural and Scheduling Order (“PSO”) issued in this docket and, as directed in the PSO, factors-in the Company’s RC</w:t>
      </w:r>
      <w:r w:rsidR="00F8583A" w:rsidRPr="00C4710D">
        <w:t>B Framework</w:t>
      </w:r>
      <w:r w:rsidRPr="00C4710D">
        <w:t xml:space="preserve">-related and other proposals in this proceeding. </w:t>
      </w:r>
      <w:r w:rsidR="000A60E3" w:rsidRPr="00C4710D">
        <w:t>Moreover, part of the variability alleged in Cox and Jester’s testimony as it relates to the September 2020 filing may have been exacerbated by their own apples-to-oranges comparison of data pulled from one part of our direct testimony Exhibit 1 work papers (column C of the spreadsheet) as opposed to more appropriate data elsewhere (Column H), which would have led to, among other problems, a significant under reporting of the losses benefit</w:t>
      </w:r>
      <w:r w:rsidRPr="00C4710D">
        <w:t>.</w:t>
      </w:r>
    </w:p>
    <w:p w14:paraId="74A000B7" w14:textId="77777777" w:rsidR="008053BA" w:rsidRPr="00C4710D" w:rsidRDefault="008053BA" w:rsidP="008053BA">
      <w:pPr>
        <w:ind w:left="720" w:hanging="720"/>
        <w:rPr>
          <w:color w:val="7030A0"/>
        </w:rPr>
      </w:pPr>
    </w:p>
    <w:p w14:paraId="5466E7C8" w14:textId="77777777" w:rsidR="00050F7C" w:rsidRPr="00C4710D" w:rsidRDefault="00050F7C" w:rsidP="00050F7C">
      <w:pPr>
        <w:ind w:left="720" w:hanging="720"/>
        <w:rPr>
          <w:b/>
          <w:bCs/>
        </w:rPr>
      </w:pPr>
      <w:r w:rsidRPr="00C4710D">
        <w:rPr>
          <w:b/>
          <w:bCs/>
        </w:rPr>
        <w:t xml:space="preserve">Q. </w:t>
      </w:r>
      <w:r w:rsidRPr="00C4710D">
        <w:rPr>
          <w:b/>
          <w:bCs/>
        </w:rPr>
        <w:tab/>
        <w:t xml:space="preserve">IS IT ACCURATE TO SAY THAT THE COMPANY IS PROPOSING TO APPLY THE RCB FRAMEWORK “IN A PIECEMEAL FASHION”? </w:t>
      </w:r>
    </w:p>
    <w:p w14:paraId="28C95AFB" w14:textId="3AD4768C" w:rsidR="008053BA" w:rsidRPr="00C4710D" w:rsidRDefault="008053BA" w:rsidP="008053BA">
      <w:pPr>
        <w:ind w:left="720" w:hanging="720"/>
      </w:pPr>
      <w:r w:rsidRPr="00C4710D">
        <w:t>A.</w:t>
      </w:r>
      <w:r w:rsidRPr="00C4710D">
        <w:tab/>
      </w:r>
      <w:r w:rsidR="00485457" w:rsidRPr="00C4710D">
        <w:t>No. The Company is applying the RCB Framework appropriately to the resources being evaluated or compensated with its proposal.</w:t>
      </w:r>
      <w:r w:rsidR="002973E4" w:rsidRPr="00C4710D">
        <w:t xml:space="preserve"> </w:t>
      </w:r>
      <w:r w:rsidR="00485457" w:rsidRPr="00C4710D">
        <w:t xml:space="preserve">The RCB </w:t>
      </w:r>
      <w:r w:rsidR="002365E8" w:rsidRPr="00C4710D">
        <w:t xml:space="preserve">Framework </w:t>
      </w:r>
      <w:r w:rsidR="00485457" w:rsidRPr="00C4710D">
        <w:t>application in question is specific to resources under Docket No. 4822 and RNR that do not have the long</w:t>
      </w:r>
      <w:r w:rsidR="002365E8" w:rsidRPr="00C4710D">
        <w:t>-</w:t>
      </w:r>
      <w:r w:rsidR="00485457" w:rsidRPr="00C4710D">
        <w:t>term obligations or financial incentives to make their generation available, and instead have a “put” option.</w:t>
      </w:r>
      <w:r w:rsidR="002973E4" w:rsidRPr="00C4710D">
        <w:t xml:space="preserve"> </w:t>
      </w:r>
      <w:r w:rsidR="00485457" w:rsidRPr="00C4710D">
        <w:t>This is in contrast to resources procured under fixed priced long-term contracts and Company-owned resources that are available for the long term for which all approved components of the RCB Framework are applied.</w:t>
      </w:r>
      <w:r w:rsidR="002973E4" w:rsidRPr="00C4710D">
        <w:t xml:space="preserve"> </w:t>
      </w:r>
      <w:r w:rsidR="00485457" w:rsidRPr="00C4710D">
        <w:t xml:space="preserve">The inability to assume resources are available for the long term is the reasoning behind the Company’s proposal to only apply the “energy” aspects of the RCB Framework to payments under Docket Nos. 4822 and 16573 and not the “investment” based aspects, as those “should only be included in the Framework if there is a reasonable expectation that the resource will be available well into the future” as stated in the RCB Framework, which is not the case with resources under Docket Nos. 4822 and 16573. In this proceeding, the Company simply asks the Commission to do in Docket No. 4822 what was done with RNR payments </w:t>
      </w:r>
      <w:r w:rsidR="00417F11" w:rsidRPr="00C4710D">
        <w:t xml:space="preserve">in </w:t>
      </w:r>
      <w:r w:rsidR="00485457" w:rsidRPr="00C4710D">
        <w:t xml:space="preserve">Docket No. 16573 in 2017—namely, apply the relevant aspects of the RCB Framework itself, while leaving the evaluation of the components, processes, and methodologies themselves for the IRP process. The Company, Staff, and intervenors, have litigated, and will no doubt continue to litigate, aspects of the RCB Framework in the IRP process, contrary to the assertions of some intervenors here, such as the GLSSA </w:t>
      </w:r>
      <w:r w:rsidR="00EF1537" w:rsidRPr="00C4710D">
        <w:t>p</w:t>
      </w:r>
      <w:r w:rsidR="00485457" w:rsidRPr="00C4710D">
        <w:t>anel</w:t>
      </w:r>
      <w:r w:rsidR="00E65CD6" w:rsidRPr="00C4710D">
        <w:t>.</w:t>
      </w:r>
    </w:p>
    <w:p w14:paraId="4FB415C4" w14:textId="77777777" w:rsidR="008053BA" w:rsidRPr="00C4710D" w:rsidRDefault="008053BA" w:rsidP="008053BA">
      <w:pPr>
        <w:ind w:left="720" w:hanging="720"/>
      </w:pPr>
    </w:p>
    <w:p w14:paraId="1D9105F9" w14:textId="03D4A85D" w:rsidR="00050F7C" w:rsidRPr="00C4710D" w:rsidRDefault="00050F7C" w:rsidP="00C449E5">
      <w:pPr>
        <w:pStyle w:val="Heading2"/>
        <w:ind w:left="1440" w:hanging="720"/>
      </w:pPr>
      <w:bookmarkStart w:id="44" w:name="_Toc59257665"/>
      <w:bookmarkStart w:id="45" w:name="_Toc59531761"/>
      <w:r w:rsidRPr="00C4710D">
        <w:t xml:space="preserve">Distinguishing the RCB </w:t>
      </w:r>
      <w:r w:rsidR="005502F1" w:rsidRPr="00C4710D">
        <w:t xml:space="preserve">Framework </w:t>
      </w:r>
      <w:r w:rsidRPr="00C4710D">
        <w:t xml:space="preserve">Avoided Energy Cost Component </w:t>
      </w:r>
      <w:proofErr w:type="gramStart"/>
      <w:r w:rsidRPr="00C4710D">
        <w:t>From</w:t>
      </w:r>
      <w:proofErr w:type="gramEnd"/>
      <w:r w:rsidRPr="00C4710D">
        <w:t xml:space="preserve"> PURPA Avoided Energy Costs in Docket No. 4822</w:t>
      </w:r>
      <w:bookmarkEnd w:id="44"/>
      <w:bookmarkEnd w:id="45"/>
      <w:r w:rsidRPr="00C4710D">
        <w:t xml:space="preserve"> </w:t>
      </w:r>
    </w:p>
    <w:p w14:paraId="715BE2AF" w14:textId="77777777" w:rsidR="008053BA" w:rsidRPr="00C4710D" w:rsidRDefault="008053BA" w:rsidP="008053BA">
      <w:pPr>
        <w:ind w:left="720" w:hanging="720"/>
      </w:pPr>
    </w:p>
    <w:p w14:paraId="6D14349B" w14:textId="77777777" w:rsidR="008053BA" w:rsidRPr="00C4710D" w:rsidRDefault="008053BA" w:rsidP="008053BA">
      <w:pPr>
        <w:ind w:left="720" w:hanging="720"/>
        <w:rPr>
          <w:b/>
          <w:bCs/>
        </w:rPr>
      </w:pPr>
      <w:r w:rsidRPr="00C4710D">
        <w:rPr>
          <w:b/>
          <w:bCs/>
        </w:rPr>
        <w:t xml:space="preserve">Q. </w:t>
      </w:r>
      <w:r w:rsidRPr="00C4710D">
        <w:rPr>
          <w:b/>
          <w:bCs/>
        </w:rPr>
        <w:tab/>
        <w:t xml:space="preserve">PLEASE EXPLAIN HOW THESE TWO AVOIDED ENERGY COSTS ARE CALCULATED. </w:t>
      </w:r>
    </w:p>
    <w:p w14:paraId="3B3300D7" w14:textId="61DCD462" w:rsidR="008053BA" w:rsidRPr="00C4710D" w:rsidRDefault="008053BA" w:rsidP="008053BA">
      <w:pPr>
        <w:ind w:left="720" w:hanging="720"/>
      </w:pPr>
      <w:r w:rsidRPr="00C4710D">
        <w:t xml:space="preserve">A. </w:t>
      </w:r>
      <w:r w:rsidRPr="00C4710D">
        <w:tab/>
        <w:t xml:space="preserve">There are two key factors that contribute to the different avoided energy costs derived from the RCB Framework as compared to the Commission’s PURPA avoided energy cost formula in Docket No. 4822. First, only PURPA avoided energy costs include the Fuel Cost Multiplier and Marginal Cost Multiplier. Second, the RCB Framework and PURPA avoided energy costs in Docket No. 4822 utilize different renewable resource assumptions, which impact how the Company’s most recent renewable solicitations are factored into the different underlying calculations. Specifically, the avoided energy cost calculation under Docket No. 4822 </w:t>
      </w:r>
      <w:r w:rsidRPr="00C4710D">
        <w:rPr>
          <w:i/>
          <w:iCs/>
        </w:rPr>
        <w:t>includes</w:t>
      </w:r>
      <w:r w:rsidRPr="00C4710D">
        <w:t xml:space="preserve"> all planned and committed resources in the underlying system planning cases. In contrast, the avoided energy cost calculation under the RCB </w:t>
      </w:r>
      <w:r w:rsidR="00050F7C" w:rsidRPr="00C4710D">
        <w:t xml:space="preserve">Framework </w:t>
      </w:r>
      <w:r w:rsidR="00050F7C" w:rsidRPr="00C4710D">
        <w:rPr>
          <w:i/>
          <w:iCs/>
        </w:rPr>
        <w:t>excludes</w:t>
      </w:r>
      <w:r w:rsidR="00050F7C" w:rsidRPr="00C4710D">
        <w:t xml:space="preserve"> </w:t>
      </w:r>
      <w:r w:rsidRPr="00C4710D">
        <w:t xml:space="preserve">the next tranche of planned renewable resources, which are the ones approved in the 2019 IRP, from the underlying planning cases, which supports the appropriate evaluation of that tranche’s impact on the system. Although the “math” is the same for developing the avoided energy costs utilized in PURPA calculations and those utilized in renewable resource evaluations, </w:t>
      </w:r>
      <w:r w:rsidR="00E65CD6" w:rsidRPr="00C4710D">
        <w:t>using different assumptions contributes to the difference in avoided energy costs.</w:t>
      </w:r>
      <w:r w:rsidR="002973E4" w:rsidRPr="00C4710D">
        <w:t xml:space="preserve"> </w:t>
      </w:r>
    </w:p>
    <w:p w14:paraId="2EB40C8D" w14:textId="77777777" w:rsidR="008053BA" w:rsidRPr="00C4710D" w:rsidRDefault="008053BA" w:rsidP="008053BA">
      <w:pPr>
        <w:pStyle w:val="ListParagraph"/>
        <w:rPr>
          <w:b/>
          <w:bCs/>
        </w:rPr>
      </w:pPr>
    </w:p>
    <w:p w14:paraId="4C524BE6" w14:textId="4E1F7976" w:rsidR="008053BA" w:rsidRPr="00C4710D" w:rsidRDefault="008053BA" w:rsidP="008053BA">
      <w:pPr>
        <w:ind w:left="720" w:hanging="720"/>
        <w:rPr>
          <w:b/>
          <w:bCs/>
        </w:rPr>
      </w:pPr>
      <w:r w:rsidRPr="00C4710D">
        <w:rPr>
          <w:b/>
          <w:bCs/>
        </w:rPr>
        <w:t xml:space="preserve">Q. </w:t>
      </w:r>
      <w:r w:rsidRPr="00C4710D">
        <w:rPr>
          <w:b/>
          <w:bCs/>
        </w:rPr>
        <w:tab/>
        <w:t xml:space="preserve">STAFF REQUESTED ADDITIONAL TESTIMONY FURTHER DETAILING THE COMPANY’S RATIONALE FOR APPLYING THE AVOIDED ENERGY RCB </w:t>
      </w:r>
      <w:r w:rsidR="00243279" w:rsidRPr="00C4710D">
        <w:rPr>
          <w:b/>
          <w:bCs/>
        </w:rPr>
        <w:t xml:space="preserve">FRAMEWORK </w:t>
      </w:r>
      <w:r w:rsidRPr="00C4710D">
        <w:rPr>
          <w:b/>
          <w:bCs/>
        </w:rPr>
        <w:t>COMPONENT TO THE CALCULATION OF PURPA AVOIDED ENERGY COSTS. CAN THE COMPANY PLEASE CLARIFY THIS PROPOSAL?</w:t>
      </w:r>
    </w:p>
    <w:p w14:paraId="0C3685C2" w14:textId="51872FBD" w:rsidR="008053BA" w:rsidRPr="00C4710D" w:rsidRDefault="008053BA" w:rsidP="008053BA">
      <w:pPr>
        <w:ind w:left="720" w:hanging="720"/>
      </w:pPr>
      <w:r w:rsidRPr="00C4710D">
        <w:t>A.</w:t>
      </w:r>
      <w:r w:rsidRPr="00C4710D">
        <w:tab/>
        <w:t xml:space="preserve">Yes. Although Avoided Energy Costs is listed as a component in the RCB Framework, the concept of avoided energy costs is not unique to the RCB Framework, as evidenced by its inclusion in Docket No. 4822 dating back to 1994. As such, the Company has simply utilized the RCB Framework terminology. To be clear, however, the Company is not proposing to modify the calculation of its PURPA Avoided Energy Cost beyond the recommendations made in its direct testimony to remove the Fuel Cost Multiplier and Marginal Cost Multiplier and apply the RCB Framework components of Reduced Transmission Losses, Reduced Distribution Losses, and Support Capacity </w:t>
      </w:r>
      <w:r w:rsidR="00417F11" w:rsidRPr="00C4710D">
        <w:t>P</w:t>
      </w:r>
      <w:r w:rsidRPr="00C4710D">
        <w:t xml:space="preserve">roduction </w:t>
      </w:r>
      <w:r w:rsidR="00417F11" w:rsidRPr="00C4710D">
        <w:t>C</w:t>
      </w:r>
      <w:r w:rsidRPr="00C4710D">
        <w:t>osts associated with regulation.</w:t>
      </w:r>
      <w:r w:rsidR="009A58ED" w:rsidRPr="00C4710D">
        <w:t xml:space="preserve"> </w:t>
      </w:r>
    </w:p>
    <w:p w14:paraId="22B616BB" w14:textId="77777777" w:rsidR="008053BA" w:rsidRPr="00C4710D" w:rsidRDefault="008053BA" w:rsidP="008053BA">
      <w:pPr>
        <w:ind w:left="720" w:hanging="720"/>
        <w:rPr>
          <w:color w:val="7030A0"/>
        </w:rPr>
      </w:pPr>
    </w:p>
    <w:p w14:paraId="3E92C0B3" w14:textId="77777777" w:rsidR="008053BA" w:rsidRPr="00C4710D" w:rsidRDefault="008053BA" w:rsidP="008053BA">
      <w:pPr>
        <w:pStyle w:val="Heading2"/>
      </w:pPr>
      <w:bookmarkStart w:id="46" w:name="_Toc58467605"/>
      <w:bookmarkStart w:id="47" w:name="_Toc59531762"/>
      <w:bookmarkStart w:id="48" w:name="_Hlk58990695"/>
      <w:r w:rsidRPr="00C4710D">
        <w:t>Support Capacity</w:t>
      </w:r>
      <w:bookmarkEnd w:id="46"/>
      <w:r w:rsidRPr="00C4710D">
        <w:t xml:space="preserve"> Production Cost Component</w:t>
      </w:r>
      <w:bookmarkEnd w:id="47"/>
    </w:p>
    <w:bookmarkEnd w:id="48"/>
    <w:p w14:paraId="1EF778C8" w14:textId="77777777" w:rsidR="008053BA" w:rsidRPr="00C4710D" w:rsidRDefault="008053BA" w:rsidP="008053BA">
      <w:pPr>
        <w:ind w:left="720" w:hanging="720"/>
        <w:rPr>
          <w:b/>
          <w:bCs/>
        </w:rPr>
      </w:pPr>
    </w:p>
    <w:p w14:paraId="16E15DC3" w14:textId="77777777" w:rsidR="008053BA" w:rsidRPr="00C4710D" w:rsidRDefault="008053BA" w:rsidP="008053BA">
      <w:pPr>
        <w:ind w:left="720" w:hanging="720"/>
        <w:rPr>
          <w:b/>
          <w:bCs/>
        </w:rPr>
      </w:pPr>
      <w:r w:rsidRPr="00C4710D">
        <w:rPr>
          <w:b/>
          <w:bCs/>
        </w:rPr>
        <w:t xml:space="preserve">Q. </w:t>
      </w:r>
      <w:r w:rsidRPr="00C4710D">
        <w:rPr>
          <w:b/>
          <w:bCs/>
        </w:rPr>
        <w:tab/>
        <w:t xml:space="preserve">WHY IS IT IMPORTANT TO APPLY SUPPORT CAPACITY PRODUCTION COSTS ASSOCIATED WITH REGULATION TO THE PURPA AVOIDED COST CALCULATION? </w:t>
      </w:r>
    </w:p>
    <w:p w14:paraId="5ED6B1CB" w14:textId="4A3F427F" w:rsidR="008053BA" w:rsidRPr="00C4710D" w:rsidRDefault="008053BA" w:rsidP="008053BA">
      <w:pPr>
        <w:ind w:left="720" w:hanging="720"/>
      </w:pPr>
      <w:r w:rsidRPr="00C4710D">
        <w:t xml:space="preserve">A. </w:t>
      </w:r>
      <w:r w:rsidRPr="00C4710D">
        <w:tab/>
        <w:t xml:space="preserve">Applying the Support Capacity Production Cost RCB </w:t>
      </w:r>
      <w:r w:rsidR="00F92891" w:rsidRPr="00C4710D">
        <w:t xml:space="preserve">Framework </w:t>
      </w:r>
      <w:r w:rsidRPr="00C4710D">
        <w:t>Component to the PURPA avoided costs calculated in Docket No. 4822 is necessary to ensure customer indifference to the QF purchases mandated on the Company by PURPA. Such application is also consistent with cost causation principles and ensures against unequal treatment of resource</w:t>
      </w:r>
      <w:r w:rsidR="008F6B30" w:rsidRPr="00C4710D">
        <w:t xml:space="preserve"> </w:t>
      </w:r>
      <w:r w:rsidRPr="00C4710D">
        <w:t xml:space="preserve">type simply because of the docket number involved. The Company incurs support capacity costs in the form of increased regulating reserves to accommodate variable generation. As these costs increase, it will become more difficult to ensure customer protection and a level playing field for all generator types and sizes without application of the Support Capacity Production </w:t>
      </w:r>
      <w:r w:rsidR="00417F11" w:rsidRPr="00C4710D">
        <w:t>C</w:t>
      </w:r>
      <w:r w:rsidRPr="00C4710D">
        <w:t>ost in these dockets.</w:t>
      </w:r>
    </w:p>
    <w:p w14:paraId="6D6F9C2C" w14:textId="77777777" w:rsidR="008053BA" w:rsidRPr="00C4710D" w:rsidRDefault="008053BA" w:rsidP="008053BA">
      <w:pPr>
        <w:pStyle w:val="ListParagraph"/>
        <w:ind w:hanging="720"/>
      </w:pPr>
    </w:p>
    <w:p w14:paraId="6DC7459C" w14:textId="77777777" w:rsidR="008053BA" w:rsidRPr="00C4710D" w:rsidRDefault="008053BA" w:rsidP="008053BA">
      <w:pPr>
        <w:ind w:left="720" w:hanging="720"/>
        <w:rPr>
          <w:b/>
          <w:bCs/>
        </w:rPr>
      </w:pPr>
      <w:r w:rsidRPr="00C4710D">
        <w:rPr>
          <w:b/>
          <w:bCs/>
        </w:rPr>
        <w:t xml:space="preserve">Q. </w:t>
      </w:r>
      <w:r w:rsidRPr="00C4710D">
        <w:rPr>
          <w:b/>
          <w:bCs/>
        </w:rPr>
        <w:tab/>
        <w:t xml:space="preserve">ARE THERE SYSTEM COSTS ASSOCIATED WITH ADDITIONS OF QF RESOURCES? PLEASE EXPLAIN. </w:t>
      </w:r>
    </w:p>
    <w:p w14:paraId="10C654CE" w14:textId="00670947" w:rsidR="008053BA" w:rsidRPr="00C4710D" w:rsidRDefault="008053BA" w:rsidP="008053BA">
      <w:pPr>
        <w:ind w:left="720" w:hanging="720"/>
      </w:pPr>
      <w:r w:rsidRPr="00C4710D">
        <w:t xml:space="preserve">A. </w:t>
      </w:r>
      <w:r w:rsidRPr="00C4710D">
        <w:tab/>
        <w:t xml:space="preserve">Yes. The Company uses its operating reserves as support capacity for the intermittency of renewables on the system. </w:t>
      </w:r>
      <w:r w:rsidR="00E65CD6" w:rsidRPr="00C4710D">
        <w:t xml:space="preserve">The reserves amount must be continually updated and evaluated for sufficiency to respond to intermittent resources, regardless of whether such resources are added under Docket No. 4822 or through the </w:t>
      </w:r>
      <w:bookmarkStart w:id="49" w:name="_Hlk59212753"/>
      <w:r w:rsidR="00E65CD6" w:rsidRPr="00C4710D">
        <w:t>RNR program in Docket No</w:t>
      </w:r>
      <w:r w:rsidR="00577B8C" w:rsidRPr="00C4710D">
        <w:t>.</w:t>
      </w:r>
      <w:r w:rsidR="00E65CD6" w:rsidRPr="00C4710D">
        <w:t xml:space="preserve"> 16753. </w:t>
      </w:r>
      <w:bookmarkEnd w:id="49"/>
      <w:r w:rsidRPr="00C4710D">
        <w:t xml:space="preserve">Regardless of the procurement vehicle, system impacts occur as intermittent generators provide energy to the system on a variable basis. </w:t>
      </w:r>
      <w:r w:rsidR="005D7D7E" w:rsidRPr="00C4710D">
        <w:t>That is, whether procured under Docket No. 4822, the RNR program, or through some other IRP-approved mechanism, the resource will still be impacting the system and require support capacity assistance</w:t>
      </w:r>
      <w:r w:rsidRPr="00C4710D">
        <w:t xml:space="preserve">. </w:t>
      </w:r>
    </w:p>
    <w:p w14:paraId="23B0224D" w14:textId="77777777" w:rsidR="008053BA" w:rsidRPr="00C4710D" w:rsidRDefault="008053BA" w:rsidP="008053BA">
      <w:pPr>
        <w:ind w:left="720" w:hanging="720"/>
      </w:pPr>
    </w:p>
    <w:p w14:paraId="3720B80B" w14:textId="77777777" w:rsidR="008053BA" w:rsidRPr="00C4710D" w:rsidRDefault="008053BA" w:rsidP="008053BA">
      <w:pPr>
        <w:ind w:left="720" w:hanging="720"/>
        <w:rPr>
          <w:rFonts w:ascii="Times New Roman Bold" w:hAnsi="Times New Roman Bold"/>
          <w:b/>
          <w:caps/>
        </w:rPr>
      </w:pPr>
      <w:r w:rsidRPr="00C4710D">
        <w:rPr>
          <w:rFonts w:ascii="Times New Roman Bold" w:hAnsi="Times New Roman Bold"/>
          <w:b/>
          <w:caps/>
        </w:rPr>
        <w:t>Q.</w:t>
      </w:r>
      <w:r w:rsidRPr="00C4710D">
        <w:rPr>
          <w:rFonts w:ascii="Times New Roman Bold" w:hAnsi="Times New Roman Bold"/>
          <w:b/>
          <w:caps/>
        </w:rPr>
        <w:tab/>
        <w:t>HAVE SUPPORT CAPACITY COSTS been applied to RNR RESOURCES under docket no. 16753 and all RFP renewable sources since 2017, including company-owned resources?</w:t>
      </w:r>
    </w:p>
    <w:p w14:paraId="41FC696C" w14:textId="7CD60A61" w:rsidR="00E65CD6" w:rsidRPr="00C4710D" w:rsidRDefault="008053BA" w:rsidP="00E65CD6">
      <w:pPr>
        <w:ind w:left="720" w:hanging="720"/>
        <w:rPr>
          <w:bCs/>
        </w:rPr>
      </w:pPr>
      <w:r w:rsidRPr="00C4710D">
        <w:rPr>
          <w:bCs/>
        </w:rPr>
        <w:t>A.</w:t>
      </w:r>
      <w:r w:rsidRPr="00C4710D">
        <w:rPr>
          <w:bCs/>
        </w:rPr>
        <w:tab/>
      </w:r>
      <w:r w:rsidR="00E65CD6" w:rsidRPr="00C4710D">
        <w:rPr>
          <w:bCs/>
        </w:rPr>
        <w:t>Yes.</w:t>
      </w:r>
      <w:r w:rsidR="002973E4" w:rsidRPr="00C4710D">
        <w:rPr>
          <w:bCs/>
        </w:rPr>
        <w:t xml:space="preserve"> </w:t>
      </w:r>
      <w:r w:rsidR="00E65CD6" w:rsidRPr="00C4710D">
        <w:rPr>
          <w:bCs/>
        </w:rPr>
        <w:t xml:space="preserve">Following the behind the meter (BTM) Joint Recommendation filed in June 2017, payments under the RNR tariff in Docket No. 16753 have included the Support Capacity Production Costs reflected in compensation. This is appropriate, as those resources generate energy onto the Georgia Power system and introduce variability that must be accommodated through reserves. Given this application in the RNR context, it defies notions of logic and fairness to not also require such application in other dockets involving the same types of variable resources. </w:t>
      </w:r>
      <w:r w:rsidR="00E65CD6" w:rsidRPr="00C4710D">
        <w:t>There is no reason to be inconsistent in the treatment of these resources as customers carry a production cost of support capacity for all of them.</w:t>
      </w:r>
    </w:p>
    <w:p w14:paraId="4DAE4B9B" w14:textId="77777777" w:rsidR="008053BA" w:rsidRPr="00C4710D" w:rsidRDefault="008053BA" w:rsidP="008053BA">
      <w:pPr>
        <w:ind w:left="720" w:hanging="720"/>
      </w:pPr>
    </w:p>
    <w:p w14:paraId="3297510D" w14:textId="0A90D80B" w:rsidR="008053BA" w:rsidRPr="00C4710D" w:rsidRDefault="008053BA" w:rsidP="008053BA">
      <w:pPr>
        <w:ind w:left="720" w:hanging="720"/>
        <w:rPr>
          <w:b/>
          <w:bCs/>
        </w:rPr>
      </w:pPr>
      <w:r w:rsidRPr="00C4710D">
        <w:rPr>
          <w:b/>
          <w:bCs/>
        </w:rPr>
        <w:t xml:space="preserve">Q. </w:t>
      </w:r>
      <w:r w:rsidRPr="00C4710D">
        <w:rPr>
          <w:b/>
          <w:bCs/>
        </w:rPr>
        <w:tab/>
        <w:t xml:space="preserve">STAFF RECOMMENDS THAT GEORGIA POWER CONDUCT A STUDY TO DETERMINE IF SOLAR RESOURCES ALREADY ONLINE ARE CAUSING ANY ADDITIONAL PRODUCTION COSTS. WHAT IS THE COMPANY’S </w:t>
      </w:r>
      <w:r w:rsidR="00CD15A2" w:rsidRPr="00C4710D">
        <w:rPr>
          <w:b/>
          <w:bCs/>
        </w:rPr>
        <w:t>RESPONSE</w:t>
      </w:r>
      <w:r w:rsidRPr="00C4710D">
        <w:rPr>
          <w:b/>
          <w:bCs/>
        </w:rPr>
        <w:t>?</w:t>
      </w:r>
      <w:r w:rsidR="002973E4" w:rsidRPr="00C4710D">
        <w:rPr>
          <w:b/>
          <w:bCs/>
        </w:rPr>
        <w:t xml:space="preserve"> </w:t>
      </w:r>
    </w:p>
    <w:p w14:paraId="720D2E18" w14:textId="4D8A319D" w:rsidR="008053BA" w:rsidRPr="00C4710D" w:rsidRDefault="008053BA" w:rsidP="008053BA">
      <w:pPr>
        <w:ind w:left="720" w:hanging="720"/>
      </w:pPr>
      <w:r w:rsidRPr="00C4710D">
        <w:t xml:space="preserve">A. </w:t>
      </w:r>
      <w:r w:rsidRPr="00C4710D">
        <w:tab/>
      </w:r>
      <w:r w:rsidR="004C5A26" w:rsidRPr="00C4710D">
        <w:t>The Company acknowledges that the RCB Framework is a “living document” in that the components, methodologies, processes and calculations will continually be studied and recommended for any resulting changes as part of the IRP process. This iterative evaluation and refinement of the RCB Framework, through Staff and stakeholder input, has been</w:t>
      </w:r>
      <w:r w:rsidR="0047524F" w:rsidRPr="00C4710D">
        <w:t xml:space="preserve"> done</w:t>
      </w:r>
      <w:r w:rsidR="004C5A26" w:rsidRPr="00C4710D">
        <w:t xml:space="preserve"> successfully over recent years. Although the Company has agreed to compile non-generic datasets to help address Staff concerns on support capacity issues, the Company maintains that information provided to-date, and precedent established through the application of Support Capacity cost in other dockets, provide ample basis for the Commission to extend the application of Support Capacity costs, costs which the Company is incurring today, to similar resources in Docket No. 4822</w:t>
      </w:r>
      <w:r w:rsidR="00E65CD6" w:rsidRPr="00C4710D">
        <w:t>.</w:t>
      </w:r>
    </w:p>
    <w:p w14:paraId="7EAE4EC5" w14:textId="77777777" w:rsidR="008053BA" w:rsidRPr="00C4710D" w:rsidRDefault="008053BA" w:rsidP="008053BA">
      <w:pPr>
        <w:ind w:left="720" w:hanging="720"/>
      </w:pPr>
    </w:p>
    <w:p w14:paraId="72416203" w14:textId="7C5A28B1" w:rsidR="008803B1" w:rsidRPr="00C4710D" w:rsidRDefault="008803B1" w:rsidP="008803B1">
      <w:pPr>
        <w:ind w:left="720" w:hanging="720"/>
        <w:rPr>
          <w:rFonts w:ascii="Times New Roman Bold" w:hAnsi="Times New Roman Bold"/>
          <w:b/>
          <w:caps/>
        </w:rPr>
      </w:pPr>
      <w:r w:rsidRPr="00C4710D">
        <w:rPr>
          <w:rFonts w:ascii="Times New Roman Bold" w:hAnsi="Times New Roman Bold"/>
          <w:b/>
          <w:caps/>
        </w:rPr>
        <w:t>Q.</w:t>
      </w:r>
      <w:r w:rsidRPr="00C4710D">
        <w:rPr>
          <w:rFonts w:ascii="Times New Roman Bold" w:hAnsi="Times New Roman Bold"/>
          <w:b/>
          <w:caps/>
        </w:rPr>
        <w:tab/>
        <w:t xml:space="preserve">Does it make sense to wait </w:t>
      </w:r>
      <w:r w:rsidR="006707CB" w:rsidRPr="00C4710D">
        <w:rPr>
          <w:rFonts w:ascii="Times New Roman Bold" w:hAnsi="Times New Roman Bold"/>
          <w:b/>
          <w:caps/>
        </w:rPr>
        <w:t>to take</w:t>
      </w:r>
      <w:r w:rsidRPr="00C4710D">
        <w:rPr>
          <w:rFonts w:ascii="Times New Roman Bold" w:hAnsi="Times New Roman Bold"/>
          <w:b/>
          <w:caps/>
        </w:rPr>
        <w:t xml:space="preserve"> action UNTIL THE company HAS ITS OWN specific DATA CAPTURING ADVERSE RELIABILITY IMPACTS from variable resources</w:t>
      </w:r>
      <w:r w:rsidR="006707CB" w:rsidRPr="00C4710D">
        <w:rPr>
          <w:rFonts w:ascii="Times New Roman Bold" w:hAnsi="Times New Roman Bold"/>
          <w:b/>
          <w:caps/>
        </w:rPr>
        <w:t>,</w:t>
      </w:r>
      <w:r w:rsidRPr="00C4710D">
        <w:rPr>
          <w:rFonts w:ascii="Times New Roman Bold" w:hAnsi="Times New Roman Bold"/>
          <w:b/>
          <w:caps/>
        </w:rPr>
        <w:t xml:space="preserve"> or IS IT BETTER to estimate THE impactS USING reputable DATA sources (SUCH AS EPRI DATA) and then refine over time as more IS LEARNED?</w:t>
      </w:r>
    </w:p>
    <w:p w14:paraId="0171CF92" w14:textId="0D72014A" w:rsidR="008053BA" w:rsidRPr="00C4710D" w:rsidRDefault="008803B1" w:rsidP="0052657A">
      <w:pPr>
        <w:ind w:left="720" w:hanging="720"/>
      </w:pPr>
      <w:r w:rsidRPr="00C4710D">
        <w:t xml:space="preserve">A. </w:t>
      </w:r>
      <w:r w:rsidRPr="00C4710D">
        <w:tab/>
      </w:r>
      <w:r w:rsidR="009A38B3" w:rsidRPr="00C4710D">
        <w:t xml:space="preserve">As is the nature of marginal cost analysis, it is absolutely appropriate to estimate marginal impacts to both costs and benefits as resources are added and committed </w:t>
      </w:r>
      <w:r w:rsidR="00417F11" w:rsidRPr="00C4710D">
        <w:t xml:space="preserve">to </w:t>
      </w:r>
      <w:r w:rsidR="009A38B3" w:rsidRPr="00C4710D">
        <w:t xml:space="preserve">the system. Recognizing future benefits on a marginal basis, while ignoring future costs, would distort the calculation of costs avoided and provide inaccurate valuation signals. It makes sense to update projections with actual data once a sufficient amount is gathered, but it is poor planning to ignore a cost impact to customers occurring today and increasing into the future while waiting to gather actual data, when reputable data sources are available to project such costs. The Company and this Commission have benefited from, and have placed great value on, taking a measured and disciplined approach to adding and evaluating new resources. This successful track record is built from being intentional in projecting impacts to the system and capturing those impacts as they occur and before they continue to increase. Applying Support Capacity </w:t>
      </w:r>
      <w:r w:rsidR="00417F11" w:rsidRPr="00C4710D">
        <w:t>P</w:t>
      </w:r>
      <w:r w:rsidR="009A38B3" w:rsidRPr="00C4710D">
        <w:t xml:space="preserve">roduction </w:t>
      </w:r>
      <w:r w:rsidR="00417F11" w:rsidRPr="00C4710D">
        <w:t>C</w:t>
      </w:r>
      <w:r w:rsidR="009A38B3" w:rsidRPr="00C4710D">
        <w:t>osts as proposed, therefore, represents a prudent and proactive step forward, to capture costs that are occurring and that will increase. Waiting until reliability problems occur would be irresponsible and costly to customers</w:t>
      </w:r>
      <w:r w:rsidRPr="00C4710D">
        <w:t>.</w:t>
      </w:r>
    </w:p>
    <w:p w14:paraId="7B0CFBA2" w14:textId="77777777" w:rsidR="0052657A" w:rsidRPr="00C4710D" w:rsidRDefault="0052657A" w:rsidP="0052657A">
      <w:pPr>
        <w:ind w:left="720" w:hanging="720"/>
      </w:pPr>
    </w:p>
    <w:p w14:paraId="31ECDA1D" w14:textId="2C93C66B" w:rsidR="00454F60" w:rsidRPr="00C4710D" w:rsidRDefault="00454F60" w:rsidP="00454F60">
      <w:pPr>
        <w:pStyle w:val="Heading1"/>
        <w:keepNext w:val="0"/>
        <w:contextualSpacing/>
        <w:jc w:val="center"/>
        <w:rPr>
          <w:rFonts w:cs="Times New Roman"/>
          <w:bCs w:val="0"/>
          <w:szCs w:val="24"/>
          <w:u w:val="single"/>
        </w:rPr>
      </w:pPr>
      <w:bookmarkStart w:id="50" w:name="_Toc58467602"/>
      <w:bookmarkStart w:id="51" w:name="_Toc59531763"/>
      <w:bookmarkStart w:id="52" w:name="_Toc57770875"/>
      <w:bookmarkStart w:id="53" w:name="_Toc57976119"/>
      <w:r w:rsidRPr="00C4710D">
        <w:rPr>
          <w:rFonts w:cs="Times New Roman"/>
          <w:bCs w:val="0"/>
          <w:szCs w:val="24"/>
          <w:u w:val="single"/>
        </w:rPr>
        <w:t>STANDARD OFFER CONTRACTS</w:t>
      </w:r>
      <w:bookmarkEnd w:id="50"/>
      <w:bookmarkEnd w:id="51"/>
    </w:p>
    <w:p w14:paraId="3C2FAFAB" w14:textId="77777777" w:rsidR="006707CB" w:rsidRPr="00C4710D" w:rsidRDefault="006707CB" w:rsidP="006707CB"/>
    <w:p w14:paraId="7B5F45E6" w14:textId="31635CB0" w:rsidR="00EC045B" w:rsidRPr="00C4710D" w:rsidRDefault="00EC045B" w:rsidP="0047524F">
      <w:pPr>
        <w:pStyle w:val="Heading2"/>
        <w:ind w:left="1440" w:hanging="720"/>
      </w:pPr>
      <w:bookmarkStart w:id="54" w:name="_Toc59531764"/>
      <w:bookmarkStart w:id="55" w:name="_Toc58467603"/>
      <w:r w:rsidRPr="00C4710D">
        <w:t xml:space="preserve">Responding to Concerns </w:t>
      </w:r>
      <w:r w:rsidR="009B67AB" w:rsidRPr="00C4710D">
        <w:t xml:space="preserve">about and Proposed Modifications to </w:t>
      </w:r>
      <w:r w:rsidRPr="00C4710D">
        <w:t>Georgia Power’s PPAs and Interconnection Process</w:t>
      </w:r>
      <w:bookmarkEnd w:id="54"/>
    </w:p>
    <w:p w14:paraId="11099353" w14:textId="77777777" w:rsidR="00EC045B" w:rsidRPr="00C4710D" w:rsidRDefault="00EC045B" w:rsidP="00EC045B"/>
    <w:p w14:paraId="67F5517A" w14:textId="7777777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Staff ASKED GEORGIA POWER to add hourly production and Avoided Energy Cost data to each monthly statement provided to A QF. IS THIS NECESSARY?</w:t>
      </w:r>
    </w:p>
    <w:p w14:paraId="4943989A" w14:textId="77777777" w:rsidR="000E2251" w:rsidRPr="00C4710D" w:rsidRDefault="000E2251" w:rsidP="000E2251">
      <w:pPr>
        <w:ind w:left="720" w:hanging="720"/>
      </w:pPr>
    </w:p>
    <w:p w14:paraId="41421946" w14:textId="26E63797" w:rsidR="000E2251" w:rsidRPr="00C4710D" w:rsidRDefault="000E2251" w:rsidP="000E2251">
      <w:pPr>
        <w:ind w:left="720" w:hanging="720"/>
      </w:pPr>
      <w:r w:rsidRPr="00C4710D">
        <w:t xml:space="preserve">A. </w:t>
      </w:r>
      <w:r w:rsidRPr="00C4710D">
        <w:tab/>
        <w:t xml:space="preserve">No. As evidenced in </w:t>
      </w:r>
      <w:r w:rsidRPr="00C4710D">
        <w:rPr>
          <w:rFonts w:eastAsia="MS Mincho"/>
          <w:bCs/>
        </w:rPr>
        <w:t>Exhibit JRG/</w:t>
      </w:r>
      <w:r w:rsidR="00090AA6" w:rsidRPr="00C4710D">
        <w:rPr>
          <w:rFonts w:eastAsia="MS Mincho"/>
          <w:bCs/>
        </w:rPr>
        <w:t>A</w:t>
      </w:r>
      <w:r w:rsidRPr="00C4710D">
        <w:rPr>
          <w:rFonts w:eastAsia="MS Mincho"/>
          <w:bCs/>
        </w:rPr>
        <w:t>WM/JBW – S2</w:t>
      </w:r>
      <w:r w:rsidRPr="00C4710D">
        <w:t>, and also demonstrated by Exhibit 3 in our direct testimony, Georgia Power already provides this hourly production and avoided energy cost data to every QF counterparty in each QF’s monthly statement.</w:t>
      </w:r>
    </w:p>
    <w:p w14:paraId="1FD0574B" w14:textId="77777777" w:rsidR="000E2251" w:rsidRPr="00C4710D" w:rsidRDefault="000E2251" w:rsidP="000E2251">
      <w:pPr>
        <w:ind w:left="720" w:hanging="720"/>
      </w:pPr>
    </w:p>
    <w:p w14:paraId="16B188F4" w14:textId="7777777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Can you please clarify the 365-Day QF termination for convenience right proposed IN THE PRO FORMA QF STANDARD OFFER CONTRACT? </w:t>
      </w:r>
    </w:p>
    <w:p w14:paraId="33DFAEAA" w14:textId="758382F8" w:rsidR="000E2251" w:rsidRPr="00C4710D" w:rsidRDefault="000E2251" w:rsidP="000E2251">
      <w:pPr>
        <w:ind w:left="720" w:hanging="720"/>
      </w:pPr>
      <w:r w:rsidRPr="00C4710D">
        <w:t xml:space="preserve">A. </w:t>
      </w:r>
      <w:r w:rsidRPr="00C4710D">
        <w:tab/>
      </w:r>
      <w:r w:rsidR="00E65CD6" w:rsidRPr="00C4710D">
        <w:t>Yes. The 365-</w:t>
      </w:r>
      <w:r w:rsidR="00081369" w:rsidRPr="00C4710D">
        <w:t>d</w:t>
      </w:r>
      <w:r w:rsidR="00E65CD6" w:rsidRPr="00C4710D">
        <w:t xml:space="preserve">ay </w:t>
      </w:r>
      <w:r w:rsidR="00081369" w:rsidRPr="00C4710D">
        <w:t>n</w:t>
      </w:r>
      <w:r w:rsidR="00E65CD6" w:rsidRPr="00C4710D">
        <w:t xml:space="preserve">otice of termination for convenience right given to a QF in the pro forma QF Standard Offer Contracts offered in Docket No. 4822 (the Energy-Only PPA and the Firm Capacity and Energy PPA) was not included for Georgia Power’s benefit. </w:t>
      </w:r>
      <w:r w:rsidRPr="00C4710D">
        <w:t xml:space="preserve">Rather, this provision was intentionally included as an alternative to terminating the PPA for default when the QF does not develop the project or otherwise desires to officially cease delivering its output to Georgia Power under the PPA, which is its right under PURPA. Defaulting on a PPA with Georgia Power can have financing or other repercussions to the QF that the QF may wish to avoid. If the Commission recommends removal of this QF right and benefit, Georgia Power will remove this provision and the QF can default under the PPA if it decides to terminate the PPA before the end of its stated term. </w:t>
      </w:r>
    </w:p>
    <w:p w14:paraId="273C882D" w14:textId="77777777" w:rsidR="000E2251" w:rsidRPr="00C4710D" w:rsidRDefault="000E2251" w:rsidP="000E2251">
      <w:pPr>
        <w:ind w:left="720" w:hanging="720"/>
        <w:rPr>
          <w:rFonts w:ascii="Times New Roman Bold" w:hAnsi="Times New Roman Bold"/>
          <w:b/>
          <w:caps/>
        </w:rPr>
      </w:pPr>
    </w:p>
    <w:p w14:paraId="6E739389" w14:textId="79E8FC04" w:rsidR="00362DDF"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r>
      <w:r w:rsidR="00362DDF" w:rsidRPr="00C4710D">
        <w:rPr>
          <w:rFonts w:ascii="Times New Roman Bold" w:hAnsi="Times New Roman Bold"/>
          <w:b/>
          <w:caps/>
        </w:rPr>
        <w:t xml:space="preserve">tHE tESTIMONIES OF GLSSA Witness Wilson AND GIPL-S-VS WITNESSES COX AND JESTER ARGUE that this 365-Day termination right is the reason why Georgia Power cannot rely upon a QF to deliver its output for the full term of the PPA. Is that true? </w:t>
      </w:r>
    </w:p>
    <w:p w14:paraId="4CDFAF14" w14:textId="7A190F79" w:rsidR="000E2251" w:rsidRPr="00C4710D" w:rsidRDefault="000E2251" w:rsidP="000E2251">
      <w:pPr>
        <w:ind w:left="720" w:hanging="720"/>
      </w:pPr>
      <w:r w:rsidRPr="00C4710D">
        <w:t xml:space="preserve">A. </w:t>
      </w:r>
      <w:r w:rsidRPr="00C4710D">
        <w:tab/>
        <w:t>No, the proposed 365-</w:t>
      </w:r>
      <w:r w:rsidR="00081369" w:rsidRPr="00C4710D">
        <w:t>d</w:t>
      </w:r>
      <w:r w:rsidRPr="00C4710D">
        <w:t>ay</w:t>
      </w:r>
      <w:r w:rsidR="00DD1948" w:rsidRPr="00C4710D">
        <w:t xml:space="preserve"> QF</w:t>
      </w:r>
      <w:r w:rsidRPr="00C4710D">
        <w:t xml:space="preserve"> termination right is not the reason why the Company cannot rely upon the QF to deliver its output for the full term of the PPA. PURPA requires Georgia Power to purchase all the energy that a QF makes available for sale, but the QF can execute the Energy-Only PPA and then choose to not offer any energy for sale without contractual repercussions. This legal right to not deliver energy is why Georgia Power cannot truly rely on any delivery commitment from any QF that executes the pro forma Energy-Only PPA. The presence of the 365-</w:t>
      </w:r>
      <w:r w:rsidR="00D448D1" w:rsidRPr="00C4710D">
        <w:t>d</w:t>
      </w:r>
      <w:r w:rsidRPr="00C4710D">
        <w:t>ay QF termination of convenience does not help remedy or further hinder this reality.</w:t>
      </w:r>
    </w:p>
    <w:p w14:paraId="5DCD3798" w14:textId="612965D2"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Staff recommended a reduction in the MONTHLY ADMINISTRATIVE CHARGEs IN all three PRO FORMA QF STANDARD OFFER CONTRACTS, but DID STAFF OFFER ANY DATA OR ANALYSIS FOR THE revised AMOUNTS? </w:t>
      </w:r>
    </w:p>
    <w:p w14:paraId="24DABC6E" w14:textId="2E73960F" w:rsidR="000E2251" w:rsidRPr="00C4710D" w:rsidRDefault="000E2251" w:rsidP="000E2251">
      <w:pPr>
        <w:ind w:left="720" w:hanging="720"/>
      </w:pPr>
      <w:r w:rsidRPr="00C4710D">
        <w:t xml:space="preserve">A. </w:t>
      </w:r>
      <w:r w:rsidRPr="00C4710D">
        <w:tab/>
        <w:t>No. Staff offered no data nor analysis to support its recommendation for its proposed lower Monthly Administrative Charges</w:t>
      </w:r>
      <w:r w:rsidR="007B402D" w:rsidRPr="00C4710D">
        <w:t xml:space="preserve"> (called the “Monthly </w:t>
      </w:r>
      <w:r w:rsidR="007D298D" w:rsidRPr="00C4710D">
        <w:t>A</w:t>
      </w:r>
      <w:r w:rsidR="007B402D" w:rsidRPr="00C4710D">
        <w:t>dministration Charge” in the PPAs)</w:t>
      </w:r>
      <w:r w:rsidRPr="00C4710D">
        <w:t xml:space="preserve">; however, Staff did agree that a graduated approach offers value, with a higher charge more appropriate for a larger QF. Georgia Power’s response in STF-7-28 provides the basis for the reasonable charges proposed, differentiated by size, based on the amount of administrative work that Georgia Power must undertake for each category of QF. Georgia Power maintains that the proposed monthly charges are calculated accurately and are critical to maintain appropriate cost recovery from a QF in proportion to the administrative costs incurred. </w:t>
      </w:r>
    </w:p>
    <w:p w14:paraId="767B8540" w14:textId="77777777" w:rsidR="000E2251" w:rsidRPr="00C4710D" w:rsidRDefault="000E2251" w:rsidP="000E2251">
      <w:pPr>
        <w:ind w:left="720" w:hanging="720"/>
        <w:rPr>
          <w:rFonts w:ascii="Times New Roman Bold" w:hAnsi="Times New Roman Bold"/>
          <w:b/>
          <w:caps/>
        </w:rPr>
      </w:pPr>
    </w:p>
    <w:p w14:paraId="7BB3D86A" w14:textId="7777777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If THE MONTHLY administrative CHARGE for A QF IS set below the actual ADMINISTRATIVE costs BORNE BY THE COMPANY, how will THOSE costs be recovered?</w:t>
      </w:r>
    </w:p>
    <w:p w14:paraId="3D825790" w14:textId="23509617" w:rsidR="000E2251" w:rsidRPr="00C4710D" w:rsidRDefault="000E2251" w:rsidP="000E2251">
      <w:pPr>
        <w:ind w:left="720" w:hanging="720"/>
      </w:pPr>
      <w:r w:rsidRPr="00C4710D">
        <w:t xml:space="preserve">A. </w:t>
      </w:r>
      <w:r w:rsidRPr="00C4710D">
        <w:tab/>
        <w:t>If the Monthly Administrative Charge is set too low, all Georgia Power customers will pay the difference between the charge and the actual cost to administer the QF contract</w:t>
      </w:r>
      <w:r w:rsidR="00DD1948" w:rsidRPr="00C4710D">
        <w:t>s</w:t>
      </w:r>
      <w:r w:rsidRPr="00C4710D">
        <w:t>.</w:t>
      </w:r>
    </w:p>
    <w:p w14:paraId="4C660F4C" w14:textId="77777777" w:rsidR="000E2251" w:rsidRPr="00C4710D" w:rsidRDefault="000E2251" w:rsidP="000E2251">
      <w:pPr>
        <w:ind w:left="720" w:hanging="720"/>
      </w:pPr>
    </w:p>
    <w:p w14:paraId="0265A43D" w14:textId="61D4E809"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Will the monthly Administration Charge of one hundred dollars ($100) set in the currently executed QF Standard offer contracts be updated anD applied to existing QFs? </w:t>
      </w:r>
    </w:p>
    <w:p w14:paraId="105A7288" w14:textId="722792DC" w:rsidR="000E2251" w:rsidRPr="00C4710D" w:rsidRDefault="000E2251" w:rsidP="000E2251">
      <w:pPr>
        <w:ind w:left="720" w:hanging="720"/>
      </w:pPr>
      <w:r w:rsidRPr="00C4710D">
        <w:t xml:space="preserve">A. </w:t>
      </w:r>
      <w:r w:rsidRPr="00C4710D">
        <w:tab/>
        <w:t xml:space="preserve">Yes. The Monthly Administration Charge set forth in the currently executed QF Standard Offer Contracts is subject to change </w:t>
      </w:r>
      <w:r w:rsidR="004E46E5" w:rsidRPr="00C4710D">
        <w:t>as</w:t>
      </w:r>
      <w:r w:rsidRPr="00C4710D">
        <w:t xml:space="preserve"> requested by Georgia Power and approved by this Commission.</w:t>
      </w:r>
      <w:r w:rsidRPr="00C4710D">
        <w:rPr>
          <w:rStyle w:val="FootnoteReference"/>
        </w:rPr>
        <w:footnoteReference w:id="28"/>
      </w:r>
      <w:r w:rsidRPr="00C4710D">
        <w:t xml:space="preserve"> As discussed further below when addressing Heelstone’s issues, this charge is fixed at $100 in the plain language of these QF Standard Offer Contracts until the Commission approves a</w:t>
      </w:r>
      <w:r w:rsidR="002973E4" w:rsidRPr="00C4710D">
        <w:t xml:space="preserve"> </w:t>
      </w:r>
      <w:r w:rsidRPr="00C4710D">
        <w:t xml:space="preserve">change, and once a new Monthly Administration Charge is approved by the Commission, it immediately applies to all existing QFs with executed QF Standard Offer Contracts. </w:t>
      </w:r>
    </w:p>
    <w:p w14:paraId="78E891FD" w14:textId="77777777" w:rsidR="000E2251" w:rsidRPr="00C4710D" w:rsidRDefault="000E2251" w:rsidP="000E2251">
      <w:pPr>
        <w:ind w:left="720" w:hanging="720"/>
        <w:rPr>
          <w:rFonts w:ascii="Times New Roman Bold" w:hAnsi="Times New Roman Bold"/>
          <w:b/>
          <w:caps/>
        </w:rPr>
      </w:pPr>
    </w:p>
    <w:p w14:paraId="0D358BCD" w14:textId="6145D976"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Pr="00C4710D">
        <w:rPr>
          <w:rFonts w:ascii="Times New Roman Bold" w:hAnsi="Times New Roman Bold"/>
          <w:b/>
          <w:caps/>
        </w:rPr>
        <w:tab/>
        <w:t xml:space="preserve">Staff does not recommend approval of the Company’s proposal to leave BLANKS FOR certain contract amountS in the PRO FORMA PROXY PPA. Can you explain why the COMPANY’s PROPOSED method is the most appropriate and efficient for all involved? </w:t>
      </w:r>
    </w:p>
    <w:p w14:paraId="5A40F8BC" w14:textId="308B59F4" w:rsidR="000E2251" w:rsidRPr="00C4710D" w:rsidRDefault="000E2251" w:rsidP="000E2251">
      <w:pPr>
        <w:ind w:left="720" w:hanging="720"/>
      </w:pPr>
      <w:r w:rsidRPr="00C4710D">
        <w:t xml:space="preserve">A. </w:t>
      </w:r>
      <w:r w:rsidRPr="00C4710D">
        <w:tab/>
        <w:t>Yes. Georgia Power proposes to leave the values blank for certain contract amounts (</w:t>
      </w:r>
      <w:r w:rsidRPr="00C4710D">
        <w:rPr>
          <w:i/>
          <w:iCs/>
        </w:rPr>
        <w:t>see e.g.,</w:t>
      </w:r>
      <w:r w:rsidRPr="00C4710D">
        <w:t xml:space="preserve"> Sections 18.4.1, 18.5.1, 18.5.2, 18.5.3, and 22.1.4 of the pro forma Proxy PPA</w:t>
      </w:r>
      <w:r w:rsidR="007F2441" w:rsidRPr="00C4710D">
        <w:t>)</w:t>
      </w:r>
      <w:r w:rsidRPr="00C4710D">
        <w:t xml:space="preserve"> and to fill them in at the time of </w:t>
      </w:r>
      <w:r w:rsidR="007F2441" w:rsidRPr="00C4710D">
        <w:t>PPA</w:t>
      </w:r>
      <w:r w:rsidRPr="00C4710D">
        <w:t xml:space="preserve"> execution with the values from the most recent similar-type solicitation for purposes of administrative efficiency for all involved. Each time the Company offers a solicitation, these same contract values are considered, vetted, commented upon by participants and Staff, typically overseen by an Independent Evaluator/Monitor and the Staff, and finally approved by the Commission. Through this lengthy vetting process, the appropriate values are determined. To populate these blanks with the same values from the last solicitation provides advance knowledge and certainty to the QF as to the values, ensures consistent application to all similar vintage QFs, and prevents unnecessary proceedings before the Commission to re-litigate the exact same values. If that does not occur, then it risks a QF paying an amount that is different from what a similarly situated renewable generator pays through another program for the exact same deliverable for no rational reason. Moreover, if the QF does not agree with the values offered in its Proxy PPA when tendered for execution, the Commission has always reserved the right to resolve that kind of dispute. In any event, the Company</w:t>
      </w:r>
      <w:r w:rsidR="00C46241" w:rsidRPr="00C4710D">
        <w:t>-</w:t>
      </w:r>
      <w:r w:rsidRPr="00C4710D">
        <w:t>proposed method is more efficient than Staff’s suggestion that the Company seek Commission approval in Docket No. 19279 each and every time the Commission approves a new value in a renewable solicitation. Georgia Power has proposed the most efficient method, which allows Commission review, ensures regulatory efficiency, ensures all renewable generators are treated equally, and still reserves for Commission review and resolution any disagreement between the parties concerning these values, if such dispute should arise.</w:t>
      </w:r>
    </w:p>
    <w:p w14:paraId="09932628" w14:textId="77777777" w:rsidR="000E2251" w:rsidRPr="00C4710D" w:rsidRDefault="000E2251" w:rsidP="000E2251">
      <w:pPr>
        <w:ind w:left="720" w:hanging="720"/>
      </w:pPr>
    </w:p>
    <w:p w14:paraId="6D2B888C" w14:textId="0E068E40"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r>
      <w:r w:rsidR="00362DDF" w:rsidRPr="00C4710D">
        <w:rPr>
          <w:rFonts w:ascii="Times New Roman Bold" w:hAnsi="Times New Roman Bold"/>
          <w:b/>
          <w:caps/>
        </w:rPr>
        <w:t>Does Georgia Power agree with Staff’s recommendation that it discuss changes to peak period hours (from Appendix b of the FIRM Capacity and Energy PPA) and the monthly capacity payment factors (from appendix A of the Proxy PPA) before modifying them in “in its sole and absolute discretion”?</w:t>
      </w:r>
    </w:p>
    <w:p w14:paraId="3A224FA8" w14:textId="39048128" w:rsidR="000E2251" w:rsidRPr="00C4710D" w:rsidRDefault="000E2251" w:rsidP="000E2251">
      <w:pPr>
        <w:ind w:left="720" w:hanging="720"/>
      </w:pPr>
      <w:r w:rsidRPr="00C4710D">
        <w:t xml:space="preserve">A. </w:t>
      </w:r>
      <w:r w:rsidRPr="00C4710D">
        <w:tab/>
        <w:t>Yes, because this already occurs in practice and we would expect it to continue. The formula adjustments referenced in these two appendices reflect system updates, which are routinely reviewed and discussed with Staff and in appropriate dockets and will not be unknown to Staff when such system updates occur generally. Georgia Power agrees that the Commission Staff oversees issues (</w:t>
      </w:r>
      <w:r w:rsidRPr="00C4710D">
        <w:rPr>
          <w:i/>
          <w:iCs/>
        </w:rPr>
        <w:t>e.g</w:t>
      </w:r>
      <w:r w:rsidRPr="00C4710D">
        <w:t xml:space="preserve">., changes to peak period hours, etc.). Georgia Power also notes that this was existing language in the Proxy PPA, approved by the Commission in Docket No. 19279 in 2006. In the intervening years since 2006, no concerns have arisen with respect to this contract language; Georgia Power does and will continue to discuss the modification of factors such as these with Staff as system needs change. Finally, as a matter of contract law, as between the two contract parties, it is Georgia Power that has the appropriate, unilateral right to make adjustments to reflect changes to its system, not the QF, which is simply what the language reflects. </w:t>
      </w:r>
    </w:p>
    <w:p w14:paraId="5156AFFB" w14:textId="77777777" w:rsidR="000E2251" w:rsidRPr="00C4710D" w:rsidRDefault="000E2251" w:rsidP="000E2251">
      <w:pPr>
        <w:ind w:left="720" w:hanging="720"/>
        <w:rPr>
          <w:rFonts w:ascii="Times New Roman Bold" w:hAnsi="Times New Roman Bold"/>
          <w:b/>
          <w:caps/>
        </w:rPr>
      </w:pPr>
    </w:p>
    <w:p w14:paraId="05AA02C2" w14:textId="7777777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Staff’s testimony states “As proposed by the Company in its Direct Testimony, </w:t>
      </w:r>
      <w:r w:rsidRPr="00C4710D">
        <w:rPr>
          <w:rFonts w:ascii="Times New Roman Bold" w:hAnsi="Times New Roman Bold"/>
          <w:b/>
          <w:i/>
          <w:iCs/>
          <w:caps/>
        </w:rPr>
        <w:t>any project</w:t>
      </w:r>
      <w:r w:rsidRPr="00C4710D">
        <w:rPr>
          <w:rFonts w:ascii="Times New Roman Bold" w:hAnsi="Times New Roman Bold"/>
          <w:b/>
          <w:caps/>
        </w:rPr>
        <w:t xml:space="preserve"> which seeks to negotiate the terms of a standard offer contract may do so with the Company and that negotiated contract would come before the Commission for approval.”</w:t>
      </w:r>
      <w:r w:rsidRPr="00C4710D">
        <w:rPr>
          <w:rStyle w:val="FootnoteReference"/>
          <w:rFonts w:ascii="Times New Roman Bold" w:hAnsi="Times New Roman Bold"/>
          <w:b/>
          <w:caps/>
        </w:rPr>
        <w:footnoteReference w:id="29"/>
      </w:r>
      <w:r w:rsidRPr="00C4710D">
        <w:rPr>
          <w:rFonts w:ascii="Times New Roman Bold" w:hAnsi="Times New Roman Bold"/>
          <w:b/>
          <w:caps/>
        </w:rPr>
        <w:t xml:space="preserve"> Is that an accurate representation of the Company’s proposal? </w:t>
      </w:r>
    </w:p>
    <w:p w14:paraId="2188BA31" w14:textId="2F3FDF80" w:rsidR="000E2251" w:rsidRPr="00C4710D" w:rsidRDefault="000E2251" w:rsidP="000E2251">
      <w:pPr>
        <w:ind w:left="720" w:hanging="720"/>
      </w:pPr>
      <w:r w:rsidRPr="00C4710D">
        <w:t xml:space="preserve">A. </w:t>
      </w:r>
      <w:r w:rsidRPr="00C4710D">
        <w:tab/>
        <w:t xml:space="preserve">Not quite. We will again outline the process proposed by the Company to tender the pro forma Energy-Only PPA or </w:t>
      </w:r>
      <w:r w:rsidR="00362DDF" w:rsidRPr="00C4710D">
        <w:t xml:space="preserve">pro forma Firm Capacity and Energy PPA </w:t>
      </w:r>
      <w:r w:rsidRPr="00C4710D">
        <w:t xml:space="preserve">(and state again, for the avoidance of doubt, the negotiated contracting process is not applicable to the Proxy PPA). If a QF fails to meets the conditions precedent for being offered the pro forma Energy-Only PPA or </w:t>
      </w:r>
      <w:r w:rsidR="00C75750" w:rsidRPr="00C4710D">
        <w:t xml:space="preserve">pro forma Firm Capacity </w:t>
      </w:r>
      <w:r w:rsidRPr="00C4710D">
        <w:t>and Energy PPA (which means the QF is not executing a QF Interconnection Agreement (“QFIA”)), then as outlined on page 34 of our direct testimony, and in compliance with this Commission’s 1994 Final Order,</w:t>
      </w:r>
      <w:r w:rsidRPr="00C4710D">
        <w:rPr>
          <w:rStyle w:val="FootnoteReference"/>
        </w:rPr>
        <w:footnoteReference w:id="30"/>
      </w:r>
      <w:r w:rsidRPr="00C4710D">
        <w:t xml:space="preserve"> the Company will identify any costs for changes to the transmission system the presence of the QF will cause and imbed such costs into the negotiated Energy-Only PPA or </w:t>
      </w:r>
      <w:r w:rsidR="00152099" w:rsidRPr="00C4710D">
        <w:t xml:space="preserve">Firm </w:t>
      </w:r>
      <w:r w:rsidRPr="00C4710D">
        <w:t xml:space="preserve">Capacity and Energy PPA to ensure such costs are not subsidized by Georgia Power’s customers in contravention of PURPA. The Company will provide that negotiated PPA to Staff for review, pursuant to the review methodology outlined on pages 50 and 51 of our direct testimony. This process ensures all QFs (those who bear all appropriate costs through the QFIA, and those who bear those same type costs through the applicable negotiated PPA) are treated equally in terms of cost responsibility. It also allows the Commission to review and determine any cost allocation disputes that may arise. </w:t>
      </w:r>
      <w:bookmarkStart w:id="56" w:name="_Hlk58930437"/>
      <w:r w:rsidR="00C75750" w:rsidRPr="00C4710D">
        <w:t>In sum, it is not the case that “</w:t>
      </w:r>
      <w:r w:rsidR="00C75750" w:rsidRPr="00C4710D">
        <w:rPr>
          <w:i/>
          <w:iCs/>
        </w:rPr>
        <w:t>any project</w:t>
      </w:r>
      <w:r w:rsidR="00C75750" w:rsidRPr="00C4710D">
        <w:t xml:space="preserve"> which seeks to negotiate the terms of a standard offer contract may do so with the Company” but, rather, only those QFs that are not eligible for the pro forma Energy-Only PPA and pro forma Firm Capacity and Energy PPA, and then only those provisions reasonably related to bearing the costs caused by the QF for changes to the transmission system are negotiated. The QF and Georgia Power will discuss the identified costs and determine the best method for capturing them in the negotiated Energy-Only PPA or negotiated Firm Capacity and Energy PPA. For example, the QF and Georgia Power may agree to adjust the monthly energy pricing stream or allow for lump sum payments/set-off or allow performance security to ensure costs are covered.</w:t>
      </w:r>
    </w:p>
    <w:p w14:paraId="2571A6A4" w14:textId="77777777" w:rsidR="00C75750" w:rsidRPr="00C4710D" w:rsidRDefault="00C75750" w:rsidP="000E2251">
      <w:pPr>
        <w:ind w:left="720" w:hanging="720"/>
      </w:pPr>
    </w:p>
    <w:p w14:paraId="155BBA0D" w14:textId="7777777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Can you further explain the importance of now requiring every QF to demonstrate “commercial viability” and “financial commitment” before being awarded a QF Standard Offer Contract and how that intersects with a QF’s selection of an interconnection agreement? </w:t>
      </w:r>
    </w:p>
    <w:p w14:paraId="7AFD4CCD" w14:textId="47A943CC" w:rsidR="000E2251" w:rsidRPr="00C4710D" w:rsidRDefault="000E2251" w:rsidP="000E2251">
      <w:pPr>
        <w:ind w:left="720" w:hanging="720"/>
      </w:pPr>
      <w:r w:rsidRPr="00C4710D">
        <w:t xml:space="preserve">A. </w:t>
      </w:r>
      <w:r w:rsidRPr="00C4710D">
        <w:tab/>
        <w:t xml:space="preserve">Yes. FERC Order 872 has now clarified the importance of the QF meeting certain commercial milestones prior to the utility being obligated to consider the QF in its planning models. The Company, not the QF, decides how best to manage its system to meet the PURPA obligation requiring firm delivery of output, and one way to achieve this is by initiating a native load reservation for the QF. This reservation should not be made until after the QF executes the appropriate PPA and indicates its intention to proceed with interconnection. The order of the purchase and interconnection contracting steps affects system planning for resource additions. By offering the QF a pro forma Energy-Only PPA before making a firm commitment to interconnect through a QFIA that captures all appropriate costs, the QF project could impact current competitive solicitations and renewable programs. Georgia Power is hosting multiple competitive solicitations this year, and each bid receives a transmission study that contemplates the costs caused by changes to the transmission system proposed by each submitted bid. If Georgia Power has native load reservations for an existing QF not yet constructed, our RFP evaluations must consider those QF resources’ impact on the selection of the competitive tier. If these QF projects are not developed, it is possible different costs would have been imputed to bids resulting in the selection of a different resource or different resource portfolio. This is a real and important impact of allowing a QF to execute a pro forma Energy-Only PPA before it makes a firm commitment to execute a QFIA. </w:t>
      </w:r>
      <w:r w:rsidR="00C75750" w:rsidRPr="00C4710D">
        <w:t>This risk will be remedied if the Commission approves Georgia Power’s proposed contracting process contemplated by the pro forma Energy-Only PPA and pro forma Firm Capacity and Energy PPA offered in Docket No. 4822.</w:t>
      </w:r>
    </w:p>
    <w:p w14:paraId="62784AA2" w14:textId="77777777" w:rsidR="000E2251" w:rsidRPr="00C4710D" w:rsidRDefault="000E2251" w:rsidP="000E2251">
      <w:pPr>
        <w:ind w:left="720" w:hanging="720"/>
        <w:rPr>
          <w:rFonts w:ascii="Times New Roman Bold" w:hAnsi="Times New Roman Bold"/>
          <w:b/>
          <w:caps/>
        </w:rPr>
      </w:pPr>
    </w:p>
    <w:p w14:paraId="3BD413ED" w14:textId="14398E52" w:rsidR="000E2251" w:rsidRPr="00C4710D" w:rsidRDefault="000E2251" w:rsidP="000E2251">
      <w:pPr>
        <w:ind w:left="720" w:hanging="720"/>
        <w:rPr>
          <w:rFonts w:ascii="Times New Roman Bold" w:hAnsi="Times New Roman Bold"/>
          <w:b/>
          <w:caps/>
        </w:rPr>
      </w:pPr>
      <w:bookmarkStart w:id="57" w:name="_Hlk59095834"/>
      <w:bookmarkEnd w:id="56"/>
      <w:r w:rsidRPr="00C4710D">
        <w:rPr>
          <w:rFonts w:ascii="Times New Roman Bold" w:hAnsi="Times New Roman Bold"/>
          <w:b/>
          <w:caps/>
        </w:rPr>
        <w:t>Q</w:t>
      </w:r>
      <w:r w:rsidR="00C75750" w:rsidRPr="00C4710D">
        <w:rPr>
          <w:rFonts w:ascii="Times New Roman Bold" w:hAnsi="Times New Roman Bold"/>
          <w:b/>
          <w:caps/>
        </w:rPr>
        <w:t xml:space="preserve">. </w:t>
      </w:r>
      <w:r w:rsidRPr="00C4710D">
        <w:rPr>
          <w:rFonts w:ascii="Times New Roman Bold" w:hAnsi="Times New Roman Bold"/>
          <w:b/>
          <w:caps/>
        </w:rPr>
        <w:tab/>
        <w:t xml:space="preserve">BEFORE STAFF CAN APPROVE GEORGIA POWER’S PROPOSAL TO ONLY OFFER THE PRO FORMA QF STANDARD OFFER CONTRACTS TO QFS THAT ARE EXECUTING A STATE-JURISDICTIONAL QFIA AND INTERCONNECTING TO THE GEORGIA POWER ELECTRIC SYSTEM, STAFF REQUESTS MORE INFORMATION ON THE INTERCONNECTION PROCESS AND STEPS REQUIRED FOR A QF </w:t>
      </w:r>
      <w:r w:rsidR="004B3A48" w:rsidRPr="00C4710D">
        <w:rPr>
          <w:rFonts w:ascii="Times New Roman Bold" w:hAnsi="Times New Roman Bold"/>
          <w:b/>
          <w:caps/>
        </w:rPr>
        <w:t>“</w:t>
      </w:r>
      <w:r w:rsidRPr="00C4710D">
        <w:rPr>
          <w:rFonts w:ascii="Times New Roman Bold" w:hAnsi="Times New Roman Bold"/>
          <w:b/>
          <w:caps/>
        </w:rPr>
        <w:t>INTERCONNECTING OUTSIDE OF THE GEORGIA POWER ELECTRIC SYSTEM.</w:t>
      </w:r>
      <w:r w:rsidR="004B3A48" w:rsidRPr="00C4710D">
        <w:rPr>
          <w:rFonts w:ascii="Times New Roman Bold" w:hAnsi="Times New Roman Bold"/>
          <w:b/>
          <w:caps/>
        </w:rPr>
        <w:t>”</w:t>
      </w:r>
      <w:r w:rsidR="002973E4" w:rsidRPr="00C4710D">
        <w:rPr>
          <w:rFonts w:ascii="Times New Roman Bold" w:hAnsi="Times New Roman Bold"/>
          <w:b/>
          <w:caps/>
        </w:rPr>
        <w:t xml:space="preserve"> </w:t>
      </w:r>
      <w:r w:rsidRPr="00C4710D">
        <w:rPr>
          <w:rFonts w:ascii="Times New Roman Bold" w:hAnsi="Times New Roman Bold"/>
          <w:b/>
          <w:caps/>
        </w:rPr>
        <w:t>CAN YOU PROVIDE THIS INFORMATION?</w:t>
      </w:r>
    </w:p>
    <w:p w14:paraId="520D343A" w14:textId="7D9C59B9" w:rsidR="000E2251" w:rsidRPr="00C4710D" w:rsidRDefault="000E2251" w:rsidP="000E2251">
      <w:pPr>
        <w:ind w:left="720" w:hanging="720"/>
      </w:pPr>
      <w:r w:rsidRPr="00C4710D">
        <w:t>A</w:t>
      </w:r>
      <w:r w:rsidR="00C75750" w:rsidRPr="00C4710D">
        <w:t>.</w:t>
      </w:r>
      <w:r w:rsidRPr="00C4710D">
        <w:t xml:space="preserve"> </w:t>
      </w:r>
      <w:r w:rsidRPr="00C4710D">
        <w:tab/>
        <w:t>Yes. To ensure clarity, for purposes of Staff’s question, Georgia Power’s response assumes a QF “interconnecting outside of the Georgia Power Electric System” is a QF that intends to (1) interconnect to the transmission system, and (2) execute an interconnection agreement other than a QFIA (i.e., a</w:t>
      </w:r>
      <w:r w:rsidR="00401AD2" w:rsidRPr="00C4710D">
        <w:t xml:space="preserve"> Small Generator Interconnection Agreement</w:t>
      </w:r>
      <w:r w:rsidRPr="00C4710D">
        <w:t xml:space="preserve"> </w:t>
      </w:r>
      <w:r w:rsidR="00401AD2" w:rsidRPr="00C4710D">
        <w:t>(“</w:t>
      </w:r>
      <w:r w:rsidRPr="00C4710D">
        <w:t>SGIA</w:t>
      </w:r>
      <w:r w:rsidR="00401AD2" w:rsidRPr="00C4710D">
        <w:t>”)</w:t>
      </w:r>
      <w:r w:rsidRPr="00C4710D">
        <w:t>, a</w:t>
      </w:r>
      <w:r w:rsidR="00401AD2" w:rsidRPr="00C4710D">
        <w:t xml:space="preserve"> Large Generator Interconnection Agreement</w:t>
      </w:r>
      <w:r w:rsidRPr="00C4710D">
        <w:t xml:space="preserve"> </w:t>
      </w:r>
      <w:r w:rsidR="00401AD2" w:rsidRPr="00C4710D">
        <w:t>(“</w:t>
      </w:r>
      <w:r w:rsidRPr="00C4710D">
        <w:t>LGIA</w:t>
      </w:r>
      <w:r w:rsidR="00401AD2" w:rsidRPr="00C4710D">
        <w:t>”)</w:t>
      </w:r>
      <w:r w:rsidRPr="00C4710D">
        <w:t xml:space="preserve">, or another Integrated Transmission System (“ITS”) participant’s interconnection agreement). </w:t>
      </w:r>
    </w:p>
    <w:p w14:paraId="5F9979B3" w14:textId="77777777" w:rsidR="000E2251" w:rsidRPr="00C4710D" w:rsidRDefault="000E2251" w:rsidP="000E2251">
      <w:pPr>
        <w:ind w:left="720"/>
      </w:pPr>
    </w:p>
    <w:p w14:paraId="1DDE9FB2" w14:textId="7D7F7E2D" w:rsidR="000E2251" w:rsidRPr="00C4710D" w:rsidRDefault="000E2251" w:rsidP="000E2251">
      <w:pPr>
        <w:ind w:left="720"/>
      </w:pPr>
      <w:r w:rsidRPr="00C4710D">
        <w:t>To lay the proper foundation, let us first confirm that all interconnection requests undergo a similar interconnection study process, which concludes with the appropriate interconnection agreement being tendered to the generator. Further, all transmission-connected generators (regardless of the interconnection agreement) require further evaluation to determine any additional transmission system upgrades based on the amount, direction and timing of the energy to be delivered.</w:t>
      </w:r>
      <w:r w:rsidR="002973E4" w:rsidRPr="00C4710D">
        <w:t xml:space="preserve"> </w:t>
      </w:r>
      <w:r w:rsidRPr="00C4710D">
        <w:t xml:space="preserve">This can happen in a variety of contexts, including through an RFP transmission evaluation, or through additional study undertaken by Georgia Power as described below. </w:t>
      </w:r>
    </w:p>
    <w:p w14:paraId="00A13713" w14:textId="77777777" w:rsidR="000E2251" w:rsidRPr="00C4710D" w:rsidRDefault="000E2251" w:rsidP="000E2251">
      <w:pPr>
        <w:ind w:left="720"/>
      </w:pPr>
    </w:p>
    <w:p w14:paraId="43CA8B59" w14:textId="76312234" w:rsidR="000E2251" w:rsidRPr="00C4710D" w:rsidRDefault="00C75750" w:rsidP="00C75750">
      <w:pPr>
        <w:ind w:left="720"/>
      </w:pPr>
      <w:r w:rsidRPr="00C4710D">
        <w:t xml:space="preserve">Next, let us describe the process that any generator, including a QF executing a QFIA, undergoes when it intends to interconnect to the Georgia Power transmission system. Generally, a QF follows the same steps and pays the same fees as any wholesale generator requesting interconnection to the Georgia Power transmission system. This process was outlined in STF-5-10, and the associated costs for each study were submitted in Hearing Request 1-3. The generator/QF is first offered an optional feasibility study, then proceeds through a system impact study and an interconnection facility study. At this point, if the QF is not requesting a QFIA, it can be tendered a FERC-jurisdictional </w:t>
      </w:r>
      <w:r w:rsidR="00401AD2" w:rsidRPr="00C4710D">
        <w:t>SGIA or LGIA</w:t>
      </w:r>
      <w:r w:rsidRPr="00C4710D">
        <w:t xml:space="preserve"> by SCS, as agent for Georgia Power. Similarly, if the QF is interconnecting through another ITS participant, Georgia Power understands that the QF would undergo similar transmission studies with that ITS participant and may subsequently be offered that ITS participant’s form of interconnection agreement</w:t>
      </w:r>
      <w:r w:rsidR="000E2251" w:rsidRPr="00C4710D">
        <w:t>.</w:t>
      </w:r>
    </w:p>
    <w:p w14:paraId="4C50BF0E" w14:textId="77777777" w:rsidR="000E2251" w:rsidRPr="00C4710D" w:rsidRDefault="000E2251" w:rsidP="000E2251">
      <w:pPr>
        <w:ind w:left="720"/>
      </w:pPr>
    </w:p>
    <w:p w14:paraId="50BE6CB4" w14:textId="0B42DFBB" w:rsidR="000E2251" w:rsidRPr="00C4710D" w:rsidRDefault="000E2251" w:rsidP="000E2251">
      <w:pPr>
        <w:ind w:left="720"/>
      </w:pPr>
      <w:r w:rsidRPr="00C4710D">
        <w:t>Pursuant to the process that Georgia Power now proposes, if a QF intends to sell its output to Georgia Power pursuant to PURPA, and does not intend to execute a QFIA (i.e., has or intends to execute an SGIA, LGIA or an ITS participant’s interconnection agreement),</w:t>
      </w:r>
      <w:r w:rsidR="002973E4" w:rsidRPr="00C4710D">
        <w:t xml:space="preserve"> </w:t>
      </w:r>
      <w:r w:rsidRPr="00C4710D">
        <w:t xml:space="preserve">Georgia Power must offer the negotiated QF Standard Offer Contract to the QF, rather than the pro forma QF Standard Offer Contract. When a QF intends to execute a QFIA (and the pro forma QF Standard Offer Contract), Georgia Power must also determine the costs related to any additional changes to the transmission system caused by the QF. This analysis is necessary to comply with the Commission’s 1994 Final Order that requires the QF to bear the costs it causes to ensure Georgia Power customers do not subsidize the QF. However, if the QF is not executing a QFIA (i.e., is interconnecting outside the “Georgia Power Electric System” as that term is defined in the Energy-Only PPA), Georgia Power must still conduct this additional study to determine such costs, if any. </w:t>
      </w:r>
      <w:r w:rsidR="00C75750" w:rsidRPr="00C4710D">
        <w:t>Therefore, Georgia Power now proposes to include any such costs in the negotiated Energy-Only PPA or negotiated Firm Capacity and Energy PPA it will present to the Commission to ensure no cost subsidy by customers.</w:t>
      </w:r>
    </w:p>
    <w:bookmarkEnd w:id="57"/>
    <w:p w14:paraId="345D0F75" w14:textId="77777777" w:rsidR="000E2251" w:rsidRPr="00C4710D" w:rsidRDefault="000E2251" w:rsidP="000E2251">
      <w:pPr>
        <w:pStyle w:val="FootnoteText"/>
        <w:spacing w:line="360" w:lineRule="auto"/>
        <w:ind w:left="720" w:hanging="720"/>
        <w:rPr>
          <w:rFonts w:ascii="Times New Roman Bold" w:hAnsi="Times New Roman Bold"/>
          <w:b/>
          <w:caps/>
          <w:sz w:val="24"/>
          <w:szCs w:val="24"/>
        </w:rPr>
      </w:pPr>
    </w:p>
    <w:p w14:paraId="7126BBB7" w14:textId="259AC641" w:rsidR="000E2251" w:rsidRPr="00C4710D" w:rsidRDefault="000E2251" w:rsidP="000E2251">
      <w:pPr>
        <w:pStyle w:val="FootnoteText"/>
        <w:spacing w:line="360" w:lineRule="auto"/>
        <w:ind w:left="720" w:hanging="720"/>
      </w:pPr>
      <w:r w:rsidRPr="00C4710D">
        <w:rPr>
          <w:rFonts w:ascii="Times New Roman Bold" w:hAnsi="Times New Roman Bold"/>
          <w:b/>
          <w:caps/>
          <w:sz w:val="24"/>
          <w:szCs w:val="24"/>
        </w:rPr>
        <w:t xml:space="preserve">Q. </w:t>
      </w:r>
      <w:r w:rsidRPr="00C4710D">
        <w:rPr>
          <w:rFonts w:ascii="Times New Roman Bold" w:hAnsi="Times New Roman Bold"/>
          <w:b/>
          <w:caps/>
          <w:sz w:val="24"/>
          <w:szCs w:val="24"/>
        </w:rPr>
        <w:tab/>
      </w:r>
      <w:r w:rsidR="00C75750" w:rsidRPr="00C4710D">
        <w:rPr>
          <w:rFonts w:ascii="Times New Roman Bold" w:hAnsi="Times New Roman Bold"/>
          <w:b/>
          <w:caps/>
          <w:sz w:val="24"/>
          <w:szCs w:val="24"/>
        </w:rPr>
        <w:t>Staff expresses confusion Regarding any specific risk or cost associated with purchasing power from resources outside of the Georgia Power Electric System and states It is unclear why QFs are unique in potentially incurring additional interconnection costs that cannot be adequately captured and imputed to the QF within the structure of the ENERGY-Only PPA or the Firm capacity and energy PPA. can you help clarify this further?</w:t>
      </w:r>
    </w:p>
    <w:p w14:paraId="75FC4EDE" w14:textId="08F0EE67" w:rsidR="000E2251" w:rsidRPr="00C4710D" w:rsidRDefault="000E2251" w:rsidP="000E2251">
      <w:pPr>
        <w:pStyle w:val="FootnoteText"/>
        <w:spacing w:line="360" w:lineRule="auto"/>
        <w:ind w:left="720" w:hanging="720"/>
        <w:rPr>
          <w:sz w:val="24"/>
          <w:szCs w:val="24"/>
        </w:rPr>
      </w:pPr>
      <w:r w:rsidRPr="00C4710D">
        <w:rPr>
          <w:sz w:val="24"/>
          <w:szCs w:val="24"/>
        </w:rPr>
        <w:t>A.</w:t>
      </w:r>
      <w:r w:rsidRPr="00C4710D">
        <w:rPr>
          <w:sz w:val="24"/>
          <w:szCs w:val="24"/>
        </w:rPr>
        <w:tab/>
      </w:r>
      <w:r w:rsidR="00C75750" w:rsidRPr="00C4710D">
        <w:rPr>
          <w:sz w:val="24"/>
          <w:szCs w:val="24"/>
        </w:rPr>
        <w:t xml:space="preserve">Yes. By way of comparison, all interconnection costs are routinely and fully evaluated in all Commission-approved procurements. Those evaluated costs are used to determine the value provided by these resources to our customers and thus serve as the basis for being declared a winning participant in the procurement. Conversely, if those resources do not provide a net benefit for customers, they are not selected. These same type costs are identified and imputed to the QF when it executes a QFIA, but this </w:t>
      </w:r>
      <w:r w:rsidR="00D81B8E" w:rsidRPr="00C4710D">
        <w:rPr>
          <w:sz w:val="24"/>
          <w:szCs w:val="24"/>
        </w:rPr>
        <w:t xml:space="preserve">particular </w:t>
      </w:r>
      <w:r w:rsidR="00C75750" w:rsidRPr="00C4710D">
        <w:rPr>
          <w:sz w:val="24"/>
          <w:szCs w:val="24"/>
        </w:rPr>
        <w:t>evaluation is not triggered if the QF chooses to execute an SGIA, LGIA or another ITS participant’s interconnection agreement. These are the costs appropriately borne by the QF that Georgia Power intends to evaluate and capture in the negotiated Energy-Only PPA and negotiated Firm Capacity and Energy PPA offered through Docket No. 4822.</w:t>
      </w:r>
    </w:p>
    <w:p w14:paraId="6B6A905C" w14:textId="77777777" w:rsidR="000E2251" w:rsidRPr="00C4710D" w:rsidRDefault="000E2251" w:rsidP="000E2251">
      <w:pPr>
        <w:pStyle w:val="FootnoteText"/>
        <w:spacing w:line="360" w:lineRule="auto"/>
        <w:ind w:left="720" w:hanging="720"/>
        <w:rPr>
          <w:sz w:val="24"/>
          <w:szCs w:val="24"/>
        </w:rPr>
      </w:pPr>
    </w:p>
    <w:p w14:paraId="7231010C" w14:textId="0EA54A97"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r>
      <w:r w:rsidR="00C75750" w:rsidRPr="00C4710D">
        <w:rPr>
          <w:rFonts w:ascii="Times New Roman Bold" w:hAnsi="Times New Roman Bold"/>
          <w:b/>
          <w:caps/>
        </w:rPr>
        <w:t>Staff ASKS georgia power to identify “all applicable QFIAs in the PRO FORMA QF Standard Offer Contracts,” AND further asks THAT SUCH QFIAs be MADE PUBLICLY AVAILABLE. How many DIFFERENT QFIAs exist AND why isn’t a form QFIA PUBLICLY AVAILABLE?</w:t>
      </w:r>
    </w:p>
    <w:p w14:paraId="5D020B4A" w14:textId="77777777" w:rsidR="000E2251" w:rsidRPr="00C4710D" w:rsidRDefault="000E2251" w:rsidP="000E2251">
      <w:pPr>
        <w:ind w:left="720" w:hanging="720"/>
      </w:pPr>
      <w:r w:rsidRPr="00C4710D">
        <w:t xml:space="preserve">A. </w:t>
      </w:r>
      <w:r w:rsidRPr="00C4710D">
        <w:tab/>
        <w:t>There is really only one basic QFIA. Georgia Power tailors it, depending on whether the QF will interconnect on the distribution system or transmission system, and after a host of other project characteristics have been identified by the QF (</w:t>
      </w:r>
      <w:r w:rsidRPr="00C4710D">
        <w:rPr>
          <w:i/>
          <w:iCs/>
        </w:rPr>
        <w:t>e.g</w:t>
      </w:r>
      <w:r w:rsidRPr="00C4710D">
        <w:t xml:space="preserve">., technology type, size, location, business type, business purpose, intent to sell output or self-supply, etc.). For purposes of our testimony and our requests to the Commission, the Company has been generally referring to the negotiated QFIA that is drafted by Georgia Power with input from the QF. Therefore, a pro forma QFIA is not available or appropriate, although, an example of an executed QFIA has been submitted by Heelstone in this proceeding as Heelstone Trade Secret Exhibit 5. </w:t>
      </w:r>
    </w:p>
    <w:p w14:paraId="3277FF4F" w14:textId="77777777" w:rsidR="000E2251" w:rsidRPr="00C4710D" w:rsidRDefault="000E2251" w:rsidP="000E2251">
      <w:pPr>
        <w:ind w:left="720" w:hanging="720"/>
        <w:rPr>
          <w:rFonts w:ascii="Times New Roman Bold" w:hAnsi="Times New Roman Bold"/>
          <w:b/>
          <w:caps/>
        </w:rPr>
      </w:pPr>
    </w:p>
    <w:p w14:paraId="408A42FB" w14:textId="4C8D2DAA"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C75750" w:rsidRPr="00C4710D">
        <w:rPr>
          <w:rFonts w:ascii="Times New Roman Bold" w:hAnsi="Times New Roman Bold"/>
          <w:b/>
          <w:caps/>
        </w:rPr>
        <w:t>.</w:t>
      </w:r>
      <w:r w:rsidRPr="00C4710D">
        <w:rPr>
          <w:rFonts w:ascii="Times New Roman Bold" w:hAnsi="Times New Roman Bold"/>
          <w:b/>
          <w:caps/>
        </w:rPr>
        <w:tab/>
        <w:t>Staff asks for additional transparency in the QF interconnection process. once the Commission approves the Pro forma QF Standard offer contracts, Does Georgia Power expect to revise the QF interconnection process to be more efficient and transparent?</w:t>
      </w:r>
    </w:p>
    <w:p w14:paraId="4C621C0F" w14:textId="027F2A34" w:rsidR="00C75750" w:rsidRPr="00C4710D" w:rsidRDefault="000E2251" w:rsidP="00C75750">
      <w:pPr>
        <w:ind w:left="720" w:hanging="720"/>
      </w:pPr>
      <w:r w:rsidRPr="00C4710D">
        <w:t>A</w:t>
      </w:r>
      <w:r w:rsidR="00C75750" w:rsidRPr="00C4710D">
        <w:t>.</w:t>
      </w:r>
      <w:r w:rsidRPr="00C4710D">
        <w:t xml:space="preserve"> </w:t>
      </w:r>
      <w:r w:rsidRPr="00C4710D">
        <w:tab/>
      </w:r>
      <w:r w:rsidR="00C75750" w:rsidRPr="00C4710D">
        <w:t>Yes. Once the Commission approves the Company’s proposed pro forma Energy-Only PPA and Firm Capacity and Energy PPA, both of which include conditions precedent related to the QFIA, Georgia Power will work with the other Southern Company operating companies to revise and publish consistent QF interconnection procedures on the Georgia Power website. It is important for Georgia Power to coordinate with the other operating companies to accomplish this task, as the Georgia Power transmission system is operated and planned as part of the larger Southern Company transmission system, and it is critical that the operating companies utilize common planning and operating practices to maintain compliance, reliability, safety, and efficiencies, while complying with both the FERC and the respective state-imposed PURPA regulations.</w:t>
      </w:r>
    </w:p>
    <w:p w14:paraId="75499C63" w14:textId="77777777" w:rsidR="000E2251" w:rsidRPr="00C4710D" w:rsidRDefault="000E2251" w:rsidP="000E2251">
      <w:pPr>
        <w:ind w:left="720" w:hanging="720"/>
        <w:rPr>
          <w:rFonts w:ascii="Times New Roman Bold" w:hAnsi="Times New Roman Bold"/>
          <w:b/>
          <w:caps/>
        </w:rPr>
      </w:pPr>
    </w:p>
    <w:p w14:paraId="2401707C" w14:textId="6CD612DF"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C75750"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t xml:space="preserve">Why has Georgia Power NOT published its QF interconnection process and guidelines in the past? </w:t>
      </w:r>
    </w:p>
    <w:p w14:paraId="66451BE3" w14:textId="55D9AC16" w:rsidR="000E2251" w:rsidRPr="00C4710D" w:rsidRDefault="000E2251" w:rsidP="000E2251">
      <w:pPr>
        <w:ind w:left="720" w:hanging="720"/>
      </w:pPr>
      <w:r w:rsidRPr="00C4710D">
        <w:t>A</w:t>
      </w:r>
      <w:r w:rsidR="00C75750" w:rsidRPr="00C4710D">
        <w:t>.</w:t>
      </w:r>
      <w:r w:rsidRPr="00C4710D">
        <w:t xml:space="preserve"> </w:t>
      </w:r>
      <w:r w:rsidRPr="00C4710D">
        <w:tab/>
      </w:r>
      <w:r w:rsidR="000C215D" w:rsidRPr="00C4710D">
        <w:t>In 1994, there was agreement that a reference to the publicly available Appendix J FERC interconnection process in the existing QF Standard Offer Contracts was sufficient direction for a QF with regard to Georgia Power’s QF interconnection process.</w:t>
      </w:r>
      <w:r w:rsidR="000C215D" w:rsidRPr="00C4710D">
        <w:rPr>
          <w:rStyle w:val="FootnoteReference"/>
        </w:rPr>
        <w:footnoteReference w:id="31"/>
      </w:r>
      <w:r w:rsidR="000C215D" w:rsidRPr="00C4710D">
        <w:t xml:space="preserve"> The existing process has worked in the past for a QF participating in capacity and renewable RFPs, but, with increasing interest by QFs offering as-available energy for sale outside of an RFP, Georgia Power agrees that it would be beneficial to all parties for the Company to publish, on its own website, even more guidance on the QF interconnection process</w:t>
      </w:r>
      <w:r w:rsidRPr="00C4710D">
        <w:t xml:space="preserve">. </w:t>
      </w:r>
    </w:p>
    <w:p w14:paraId="044BC150" w14:textId="77777777" w:rsidR="000E2251" w:rsidRPr="00C4710D" w:rsidRDefault="000E2251" w:rsidP="000E2251">
      <w:pPr>
        <w:ind w:left="720" w:hanging="720"/>
      </w:pPr>
    </w:p>
    <w:p w14:paraId="6943D87A" w14:textId="5F07EBD4"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C75750" w:rsidRPr="00C4710D">
        <w:rPr>
          <w:rFonts w:ascii="Times New Roman Bold" w:hAnsi="Times New Roman Bold"/>
          <w:b/>
          <w:caps/>
        </w:rPr>
        <w:t>.</w:t>
      </w:r>
      <w:r w:rsidRPr="00C4710D">
        <w:rPr>
          <w:rFonts w:ascii="Times New Roman Bold" w:hAnsi="Times New Roman Bold"/>
          <w:b/>
          <w:caps/>
        </w:rPr>
        <w:tab/>
        <w:t>Staff requests additional testimony about modifying the definition of “Georgia Power Electric System” in the Proxy PPA, Noting that the recently approved Biomass Capacity PPA allows INTERCONNECTION TO either THE SOUTHERN COMPANY TRANSMISSION SYSTEM OR THE GEORGIA ITS. Can you explain and help resolve the concern you believe Staff is expressing?</w:t>
      </w:r>
    </w:p>
    <w:p w14:paraId="6AD4A5EC" w14:textId="1C64EF9A" w:rsidR="000E2251" w:rsidRPr="00C4710D" w:rsidRDefault="000E2251" w:rsidP="000E2251">
      <w:pPr>
        <w:ind w:left="720" w:hanging="720"/>
      </w:pPr>
      <w:r w:rsidRPr="00C4710D">
        <w:t>A</w:t>
      </w:r>
      <w:r w:rsidR="00C75750" w:rsidRPr="00C4710D">
        <w:t>.</w:t>
      </w:r>
      <w:r w:rsidRPr="00C4710D">
        <w:tab/>
      </w:r>
      <w:r w:rsidR="00D92F58" w:rsidRPr="00C4710D">
        <w:t>Yes. As Staff points out, this definition in the pro forma Proxy PPA needs to be revised to include the ITS.</w:t>
      </w:r>
      <w:r w:rsidR="002973E4" w:rsidRPr="00C4710D">
        <w:t xml:space="preserve"> </w:t>
      </w:r>
      <w:r w:rsidR="00D92F58" w:rsidRPr="00C4710D">
        <w:t>The pro forma Proxy PPA is offered to a QF through a capacity RFP process, and the PPA pricing reflects the results of the transmission evaluation conducted for the RFP. Accordingly, every Proxy QF is eligible for a pro forma Proxy PPA, without the need to negotiate to include any “additional costs,” because such transmission costs are already captured in the pricing offered to a QF with a Proxy PPA. This definitional change will be made in the pro forma Proxy PPA submitted for approval in this proceeding</w:t>
      </w:r>
      <w:r w:rsidRPr="00C4710D">
        <w:t xml:space="preserve">. </w:t>
      </w:r>
    </w:p>
    <w:p w14:paraId="7AEE3442" w14:textId="77777777" w:rsidR="000E2251" w:rsidRPr="00C4710D" w:rsidRDefault="000E2251" w:rsidP="000E2251">
      <w:pPr>
        <w:ind w:left="720" w:hanging="720"/>
      </w:pPr>
    </w:p>
    <w:p w14:paraId="5E5B0CBD" w14:textId="77777777" w:rsidR="00EC045B" w:rsidRPr="00C4710D" w:rsidRDefault="00EC045B" w:rsidP="00EC045B">
      <w:pPr>
        <w:pStyle w:val="Heading2"/>
      </w:pPr>
      <w:bookmarkStart w:id="58" w:name="_Toc59531765"/>
      <w:r w:rsidRPr="00C4710D">
        <w:t>Response to Proposed Contract Revisions from GLSAA</w:t>
      </w:r>
      <w:bookmarkEnd w:id="58"/>
    </w:p>
    <w:p w14:paraId="6604984F" w14:textId="77777777" w:rsidR="00EC045B" w:rsidRPr="00C4710D" w:rsidRDefault="00EC045B" w:rsidP="00EC045B"/>
    <w:p w14:paraId="5953ECE2" w14:textId="1AAEDB4E" w:rsidR="00EC045B" w:rsidRPr="00C4710D" w:rsidRDefault="00EC045B" w:rsidP="00EC045B">
      <w:pPr>
        <w:ind w:left="720" w:hanging="720"/>
        <w:rPr>
          <w:rFonts w:ascii="Times New Roman Bold" w:hAnsi="Times New Roman Bold"/>
          <w:b/>
          <w:caps/>
        </w:rPr>
      </w:pPr>
      <w:r w:rsidRPr="00C4710D">
        <w:rPr>
          <w:rFonts w:ascii="Times New Roman Bold" w:hAnsi="Times New Roman Bold"/>
          <w:b/>
          <w:caps/>
        </w:rPr>
        <w:t>Q.</w:t>
      </w:r>
      <w:r w:rsidRPr="00C4710D">
        <w:rPr>
          <w:rFonts w:ascii="Times New Roman Bold" w:hAnsi="Times New Roman Bold"/>
          <w:b/>
          <w:caps/>
        </w:rPr>
        <w:tab/>
        <w:t>are Georgia Power’s existing and proposed pro forma QF standard offer contracts PURPA compliant</w:t>
      </w:r>
      <w:r w:rsidR="00432D4A" w:rsidRPr="00C4710D">
        <w:rPr>
          <w:rFonts w:ascii="Times New Roman Bold" w:hAnsi="Times New Roman Bold"/>
          <w:b/>
          <w:caps/>
        </w:rPr>
        <w:t>?</w:t>
      </w:r>
    </w:p>
    <w:p w14:paraId="184E00E3" w14:textId="55FA2E15" w:rsidR="00EC045B" w:rsidRPr="00C4710D" w:rsidRDefault="00EC045B" w:rsidP="00EC045B">
      <w:pPr>
        <w:ind w:left="720" w:hanging="720"/>
      </w:pPr>
      <w:r w:rsidRPr="00C4710D">
        <w:rPr>
          <w:rFonts w:ascii="Times New Roman Bold" w:hAnsi="Times New Roman Bold"/>
          <w:bCs/>
          <w:caps/>
        </w:rPr>
        <w:t>a.</w:t>
      </w:r>
      <w:r w:rsidRPr="00C4710D">
        <w:rPr>
          <w:rFonts w:ascii="Times New Roman Bold" w:hAnsi="Times New Roman Bold"/>
          <w:b/>
          <w:caps/>
        </w:rPr>
        <w:tab/>
      </w:r>
      <w:r w:rsidR="00C75750" w:rsidRPr="00C4710D">
        <w:rPr>
          <w:caps/>
        </w:rPr>
        <w:t>Y</w:t>
      </w:r>
      <w:r w:rsidR="00C75750" w:rsidRPr="00C4710D">
        <w:rPr>
          <w:bCs/>
        </w:rPr>
        <w:t>es</w:t>
      </w:r>
      <w:r w:rsidR="00C75750" w:rsidRPr="00C4710D">
        <w:rPr>
          <w:rFonts w:ascii="Times New Roman Bold" w:hAnsi="Times New Roman Bold"/>
          <w:b/>
          <w:caps/>
        </w:rPr>
        <w:t>.</w:t>
      </w:r>
      <w:r w:rsidR="002973E4" w:rsidRPr="00C4710D">
        <w:rPr>
          <w:rFonts w:ascii="Times New Roman Bold" w:hAnsi="Times New Roman Bold"/>
          <w:b/>
          <w:caps/>
        </w:rPr>
        <w:t xml:space="preserve"> </w:t>
      </w:r>
      <w:r w:rsidR="00C75750" w:rsidRPr="00C4710D">
        <w:t xml:space="preserve">As a primary matter, the three existing QF Standard Offer Contracts currently approved by this Commission, which are the product of significant negotiation and analysis in these dockets in 1994 and 2004-2006, absolutely comply with PURPA. </w:t>
      </w:r>
      <w:r w:rsidR="0040147D" w:rsidRPr="00C4710D">
        <w:t xml:space="preserve">FERC’s </w:t>
      </w:r>
      <w:r w:rsidRPr="00C4710D">
        <w:t xml:space="preserve">PURPA </w:t>
      </w:r>
      <w:r w:rsidR="0040147D" w:rsidRPr="00C4710D">
        <w:t>regulations</w:t>
      </w:r>
      <w:r w:rsidRPr="00C4710D">
        <w:t xml:space="preserve"> recognize that standard rates for purchases </w:t>
      </w:r>
      <w:r w:rsidR="000A1DAB" w:rsidRPr="00C4710D">
        <w:t>from</w:t>
      </w:r>
      <w:r w:rsidRPr="00C4710D">
        <w:t xml:space="preserve"> QFs “may differentiate among qualifying facilities using various technologies on the basis of the supply characteristics of the different technologies,”</w:t>
      </w:r>
      <w:r w:rsidRPr="00C4710D">
        <w:rPr>
          <w:rStyle w:val="FootnoteReference"/>
        </w:rPr>
        <w:footnoteReference w:id="32"/>
      </w:r>
      <w:r w:rsidRPr="00C4710D">
        <w:t xml:space="preserve"> which means compensation appropriately varies depending on the product the QF is capable of offering. This </w:t>
      </w:r>
      <w:r w:rsidR="000A1DAB" w:rsidRPr="00C4710D">
        <w:t xml:space="preserve">difference </w:t>
      </w:r>
      <w:r w:rsidRPr="00C4710D">
        <w:t>was plainly recognized when the Commission initiated Docket No. 19279 to create the Proxy Unit Methodology</w:t>
      </w:r>
      <w:r w:rsidR="001478D5" w:rsidRPr="00C4710D">
        <w:t>,</w:t>
      </w:r>
      <w:r w:rsidRPr="00C4710D">
        <w:t xml:space="preserve"> and any assertion that an intermittent QF product is owed the same payment as a baseload type (proxy) resource is belied by the Commission’s lengthy orders in Docket No. 19279, and the plain language of the FERC regulations.</w:t>
      </w:r>
      <w:r w:rsidRPr="00C4710D">
        <w:rPr>
          <w:rStyle w:val="FootnoteReference"/>
        </w:rPr>
        <w:footnoteReference w:id="33"/>
      </w:r>
      <w:r w:rsidRPr="00C4710D">
        <w:t xml:space="preserve"> </w:t>
      </w:r>
    </w:p>
    <w:p w14:paraId="0384C20F" w14:textId="77777777" w:rsidR="00EC045B" w:rsidRPr="00C4710D" w:rsidRDefault="00EC045B" w:rsidP="00D6218F">
      <w:pPr>
        <w:ind w:left="720" w:hanging="720"/>
      </w:pPr>
    </w:p>
    <w:p w14:paraId="171578C4" w14:textId="79C6CBF1" w:rsidR="00EC045B" w:rsidRPr="00C4710D" w:rsidRDefault="00EC045B" w:rsidP="00EC045B">
      <w:pPr>
        <w:ind w:left="720" w:hanging="720"/>
        <w:rPr>
          <w:rFonts w:ascii="Times New Roman Bold" w:hAnsi="Times New Roman Bold"/>
          <w:b/>
          <w:caps/>
        </w:rPr>
      </w:pPr>
      <w:r w:rsidRPr="00C4710D">
        <w:rPr>
          <w:rFonts w:ascii="Times New Roman Bold" w:hAnsi="Times New Roman Bold"/>
          <w:b/>
          <w:caps/>
        </w:rPr>
        <w:t>Q.</w:t>
      </w:r>
      <w:r w:rsidRPr="00C4710D">
        <w:rPr>
          <w:rFonts w:ascii="Times New Roman Bold" w:hAnsi="Times New Roman Bold"/>
          <w:b/>
          <w:caps/>
        </w:rPr>
        <w:tab/>
        <w:t>GLSSA Witness Wilson suggests a new QF “Rated” contract option, But do the terms and conditions of THIS QF “Rated” contract comply with PURPA?</w:t>
      </w:r>
    </w:p>
    <w:p w14:paraId="4856AF7E" w14:textId="576C80F6" w:rsidR="009367D5" w:rsidRPr="00C4710D" w:rsidRDefault="00EC045B" w:rsidP="009367D5">
      <w:pPr>
        <w:ind w:left="720" w:hanging="720"/>
      </w:pPr>
      <w:r w:rsidRPr="00C4710D">
        <w:t>A</w:t>
      </w:r>
      <w:r w:rsidR="0038407E" w:rsidRPr="00C4710D">
        <w:t>.</w:t>
      </w:r>
      <w:r w:rsidRPr="00C4710D">
        <w:rPr>
          <w:rFonts w:ascii="Arial" w:eastAsia="Calibri" w:hAnsi="Arial" w:cs="Arial"/>
          <w:color w:val="FF0000"/>
        </w:rPr>
        <w:t xml:space="preserve"> </w:t>
      </w:r>
      <w:r w:rsidRPr="00C4710D">
        <w:rPr>
          <w:rFonts w:ascii="Arial" w:eastAsia="Calibri" w:hAnsi="Arial" w:cs="Arial"/>
          <w:color w:val="FF0000"/>
        </w:rPr>
        <w:tab/>
      </w:r>
      <w:r w:rsidR="00AD509C" w:rsidRPr="00C4710D">
        <w:t xml:space="preserve">No, the suggested “Rated” form </w:t>
      </w:r>
      <w:r w:rsidR="008E3E2E" w:rsidRPr="00C4710D">
        <w:t>proposed</w:t>
      </w:r>
      <w:r w:rsidR="00AD509C" w:rsidRPr="00C4710D">
        <w:t xml:space="preserve"> by GLSSA Witness Wilson includes several concepts that violate PURPA for a QF that has the right to sell whatever energy it makes available to the utility, and may sell capacity when needed and approved by the Commission. If the only contract structure available to an intermittent generator requires the QF to deliver fixed energy, rather than giving the QF the choice it is afforded under PURPA to deliver its available energy, it is not PURPA compliant. Additionally, GLSSA Witness Wilson puts forward unsupported suggestions, for example, offering a 10% discount for the QF retaining any RECs it generates, and forcing a QF to return all former payments if the contract terminates early. Combining those concepts with the clear evidence in FERC Order Nos. 872 and 872-A that fixing the energy pricing st</w:t>
      </w:r>
      <w:r w:rsidR="007B2681" w:rsidRPr="00C4710D">
        <w:t>r</w:t>
      </w:r>
      <w:r w:rsidR="00AD509C" w:rsidRPr="00C4710D">
        <w:t>eam creates a significant risk that customers will subsidize these QFs, and the fact that paying for capacity benefits to solar generators is already an established process in the myriad of renewable programs this Commission has already authorized, leads to only one supported conclusion: the suggested “Rated” form of contract put forward in GLSSA’s testimony is bad for customers, Georgia Power, and this Commission. Witness Wilson’s proposal violates PURPA</w:t>
      </w:r>
      <w:r w:rsidR="00C747BD" w:rsidRPr="00C4710D">
        <w:t xml:space="preserve"> as well as</w:t>
      </w:r>
      <w:r w:rsidR="00AD509C" w:rsidRPr="00C4710D">
        <w:t xml:space="preserve"> state law,</w:t>
      </w:r>
      <w:r w:rsidR="00AD509C" w:rsidRPr="00C4710D">
        <w:rPr>
          <w:rStyle w:val="FootnoteReference"/>
        </w:rPr>
        <w:footnoteReference w:id="34"/>
      </w:r>
      <w:r w:rsidR="00AD509C" w:rsidRPr="00C4710D">
        <w:t xml:space="preserve"> risks customers paying more than avoided cost, fails to recognize the same purported benefits are already captured appropriately in other renewable offerings, and serves only to conflate and confuse the options already required by PURPA and provided by this Commission through the established and proposed pro forma QF Standard Offer Contracts</w:t>
      </w:r>
      <w:r w:rsidR="009367D5" w:rsidRPr="00C4710D">
        <w:t>.</w:t>
      </w:r>
      <w:r w:rsidR="002973E4" w:rsidRPr="00C4710D">
        <w:t xml:space="preserve"> </w:t>
      </w:r>
    </w:p>
    <w:p w14:paraId="7B0A837C" w14:textId="77777777" w:rsidR="00EC045B" w:rsidRPr="00C4710D" w:rsidRDefault="00EC045B" w:rsidP="00F27E18">
      <w:pPr>
        <w:rPr>
          <w:rFonts w:ascii="Times New Roman Bold" w:hAnsi="Times New Roman Bold"/>
          <w:b/>
          <w:caps/>
        </w:rPr>
      </w:pPr>
    </w:p>
    <w:p w14:paraId="5D6323B5" w14:textId="1DDEB772" w:rsidR="00EC045B" w:rsidRPr="00C4710D" w:rsidRDefault="00EC045B" w:rsidP="00EC045B">
      <w:pPr>
        <w:ind w:left="720" w:hanging="720"/>
        <w:rPr>
          <w:rFonts w:ascii="Times New Roman Bold" w:hAnsi="Times New Roman Bold"/>
          <w:b/>
          <w:caps/>
        </w:rPr>
      </w:pPr>
      <w:r w:rsidRPr="00C4710D">
        <w:rPr>
          <w:rFonts w:ascii="Times New Roman Bold" w:hAnsi="Times New Roman Bold"/>
          <w:b/>
          <w:caps/>
        </w:rPr>
        <w:t>Q</w:t>
      </w:r>
      <w:r w:rsidR="00D26401"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r>
      <w:r w:rsidR="009367D5" w:rsidRPr="00C4710D">
        <w:rPr>
          <w:rFonts w:ascii="Times New Roman Bold" w:hAnsi="Times New Roman Bold"/>
          <w:b/>
          <w:caps/>
        </w:rPr>
        <w:t xml:space="preserve">GLSSA Witness Wilson again RECOMMENDS IMPOSING a minimum </w:t>
      </w:r>
      <w:r w:rsidR="00AF53D5" w:rsidRPr="00C4710D">
        <w:rPr>
          <w:rFonts w:ascii="Times New Roman Bold" w:hAnsi="Times New Roman Bold"/>
          <w:b/>
          <w:caps/>
        </w:rPr>
        <w:t>PPA</w:t>
      </w:r>
      <w:r w:rsidR="009367D5" w:rsidRPr="00C4710D">
        <w:rPr>
          <w:rFonts w:ascii="Times New Roman Bold" w:hAnsi="Times New Roman Bold"/>
          <w:b/>
          <w:caps/>
        </w:rPr>
        <w:t xml:space="preserve"> term </w:t>
      </w:r>
      <w:r w:rsidR="00AF53D5" w:rsidRPr="00C4710D">
        <w:rPr>
          <w:rFonts w:ascii="Times New Roman Bold" w:hAnsi="Times New Roman Bold"/>
          <w:b/>
          <w:caps/>
        </w:rPr>
        <w:t xml:space="preserve">LENGTH </w:t>
      </w:r>
      <w:r w:rsidR="009367D5" w:rsidRPr="00C4710D">
        <w:rPr>
          <w:rFonts w:ascii="Times New Roman Bold" w:hAnsi="Times New Roman Bold"/>
          <w:b/>
          <w:caps/>
        </w:rPr>
        <w:t xml:space="preserve">of 15 years </w:t>
      </w:r>
      <w:r w:rsidR="00AF53D5" w:rsidRPr="00C4710D">
        <w:rPr>
          <w:rFonts w:ascii="Times New Roman Bold" w:hAnsi="Times New Roman Bold"/>
          <w:b/>
          <w:caps/>
        </w:rPr>
        <w:t>ON</w:t>
      </w:r>
      <w:r w:rsidR="009367D5" w:rsidRPr="00C4710D">
        <w:rPr>
          <w:rFonts w:ascii="Times New Roman Bold" w:hAnsi="Times New Roman Bold"/>
          <w:b/>
          <w:caps/>
        </w:rPr>
        <w:t xml:space="preserve"> the QF Standard Offer Contracts offered in Docket NO. 4822. Does the Company support forcing the QF to sell its output to the Company for a minimum 15 year term?</w:t>
      </w:r>
    </w:p>
    <w:p w14:paraId="3F5DB3BE" w14:textId="04304385" w:rsidR="00EC045B" w:rsidRPr="00C4710D" w:rsidRDefault="00EC045B" w:rsidP="00EC045B">
      <w:pPr>
        <w:ind w:left="720" w:hanging="720"/>
      </w:pPr>
      <w:r w:rsidRPr="00C4710D">
        <w:t>A</w:t>
      </w:r>
      <w:r w:rsidR="00D26401" w:rsidRPr="00C4710D">
        <w:t>.</w:t>
      </w:r>
      <w:r w:rsidRPr="00C4710D">
        <w:t xml:space="preserve"> </w:t>
      </w:r>
      <w:r w:rsidRPr="00C4710D">
        <w:tab/>
      </w:r>
      <w:r w:rsidR="009367D5" w:rsidRPr="00C4710D">
        <w:t>This is not really a question of whether the Company supports the Commission imposing a minimum term on a QF PPA, although historically it has been a QF’s choice to select the length of its PPA term, up to 30 years, in compliance with the Commission’s Orders in these dockets. In reality, because PURPA does not mandate a QF to offer any or all of its energy for sale at any given time, regardless of the PPA term length, a QF can execute an Energy-Only PPA with any length term and not deliver any energy for sale; therefore, the term length is irrelevant for the purpose of ensuring a QF has a commitment to deliver. A contracting structure that requires a firm delivery commitment, the failure of which triggers payment of liquidated damages, is frequently utilized in the Company’s multiple renewable PPA offerings through RFPs, but is ineffective in a PURPA PPA that does not require the QF to post performance security to backstop its delivery obligation.</w:t>
      </w:r>
      <w:r w:rsidR="009367D5" w:rsidRPr="00C4710D">
        <w:rPr>
          <w:rStyle w:val="FootnoteReference"/>
        </w:rPr>
        <w:footnoteReference w:id="35"/>
      </w:r>
    </w:p>
    <w:p w14:paraId="08C54376" w14:textId="77777777" w:rsidR="00EC045B" w:rsidRPr="00C4710D" w:rsidRDefault="00EC045B" w:rsidP="00EC045B">
      <w:pPr>
        <w:ind w:left="720" w:hanging="720"/>
        <w:rPr>
          <w:rFonts w:ascii="Times New Roman Bold" w:hAnsi="Times New Roman Bold"/>
          <w:b/>
          <w:caps/>
        </w:rPr>
      </w:pPr>
      <w:r w:rsidRPr="00C4710D" w:rsidDel="00F66F0B">
        <w:t xml:space="preserve"> </w:t>
      </w:r>
    </w:p>
    <w:p w14:paraId="12B9CBA1" w14:textId="0B2465B1" w:rsidR="00EC045B" w:rsidRPr="00C4710D" w:rsidRDefault="00EC045B" w:rsidP="00EC045B">
      <w:pPr>
        <w:ind w:left="720" w:hanging="720"/>
        <w:rPr>
          <w:rFonts w:ascii="Times New Roman Bold" w:hAnsi="Times New Roman Bold"/>
          <w:b/>
          <w:caps/>
        </w:rPr>
      </w:pPr>
      <w:r w:rsidRPr="00C4710D">
        <w:rPr>
          <w:rFonts w:ascii="Times New Roman Bold" w:hAnsi="Times New Roman Bold"/>
          <w:b/>
          <w:caps/>
        </w:rPr>
        <w:t>Q</w:t>
      </w:r>
      <w:r w:rsidR="00FB2E1F"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t xml:space="preserve">On the last page of its rebuttal testimony, the GLSSA panel throws in </w:t>
      </w:r>
      <w:r w:rsidR="00B97987" w:rsidRPr="00C4710D">
        <w:rPr>
          <w:rFonts w:ascii="Times New Roman Bold" w:hAnsi="Times New Roman Bold"/>
          <w:b/>
          <w:caps/>
        </w:rPr>
        <w:t>FOUR</w:t>
      </w:r>
      <w:r w:rsidRPr="00C4710D">
        <w:rPr>
          <w:rFonts w:ascii="Times New Roman Bold" w:hAnsi="Times New Roman Bold"/>
          <w:b/>
          <w:caps/>
        </w:rPr>
        <w:t xml:space="preserve"> unsupported suggestions to the QF Standard Offer Contracts. What is the Company’s view of these suggestions? </w:t>
      </w:r>
    </w:p>
    <w:p w14:paraId="4341F84A" w14:textId="1D671416" w:rsidR="00EC045B" w:rsidRPr="00C4710D" w:rsidRDefault="00EC045B" w:rsidP="00EC045B">
      <w:pPr>
        <w:ind w:left="720" w:hanging="720"/>
      </w:pPr>
      <w:r w:rsidRPr="00C4710D">
        <w:t>A</w:t>
      </w:r>
      <w:r w:rsidR="00FB2E1F" w:rsidRPr="00C4710D">
        <w:t>.</w:t>
      </w:r>
      <w:r w:rsidRPr="00C4710D">
        <w:t xml:space="preserve"> </w:t>
      </w:r>
      <w:r w:rsidRPr="00C4710D">
        <w:tab/>
      </w:r>
      <w:r w:rsidR="009367D5" w:rsidRPr="00C4710D">
        <w:t>The Commission should wholly ignore the GLSSA panel’s suggestions to amend the pro forma QF Standard Offer Contracts, as the sole support for each such revision is one sentence on the last page of the GLSSA panel’s testimony. GLSSA offers no reasoning nor justification to even explain the purpose of its suggestions. Moreover, two of the four suggestions (the first and last) are requests to remove PPA provisions that actually benefit the QF. If this panel had endeavored to set forth its reasoning and provide evidence for its four sentences of recommendations, GLSSA may not have made these suggestions in the first place.</w:t>
      </w:r>
    </w:p>
    <w:p w14:paraId="7FB49D18" w14:textId="77777777" w:rsidR="006B257F" w:rsidRPr="00C4710D" w:rsidRDefault="006B257F" w:rsidP="00EC045B">
      <w:pPr>
        <w:ind w:left="720" w:hanging="720"/>
      </w:pPr>
    </w:p>
    <w:p w14:paraId="182B9575" w14:textId="4AF194C9" w:rsidR="005F2AA9" w:rsidRPr="00C4710D" w:rsidRDefault="0009120F" w:rsidP="005F2AA9">
      <w:pPr>
        <w:pStyle w:val="Heading1"/>
        <w:keepNext w:val="0"/>
        <w:contextualSpacing/>
        <w:jc w:val="center"/>
        <w:rPr>
          <w:rFonts w:cs="Times New Roman"/>
          <w:bCs w:val="0"/>
          <w:szCs w:val="24"/>
          <w:u w:val="single"/>
        </w:rPr>
      </w:pPr>
      <w:bookmarkStart w:id="59" w:name="_Toc59531766"/>
      <w:bookmarkEnd w:id="55"/>
      <w:r w:rsidRPr="00C4710D">
        <w:rPr>
          <w:rFonts w:cs="Times New Roman"/>
          <w:bCs w:val="0"/>
          <w:szCs w:val="24"/>
          <w:u w:val="single"/>
        </w:rPr>
        <w:t xml:space="preserve">OTHER </w:t>
      </w:r>
      <w:r w:rsidR="00590594" w:rsidRPr="00C4710D">
        <w:rPr>
          <w:rFonts w:cs="Times New Roman"/>
          <w:bCs w:val="0"/>
          <w:szCs w:val="24"/>
          <w:u w:val="single"/>
        </w:rPr>
        <w:t>CONSIDERATIONS</w:t>
      </w:r>
      <w:bookmarkEnd w:id="59"/>
    </w:p>
    <w:p w14:paraId="17BBA904" w14:textId="77777777" w:rsidR="00DC3183" w:rsidRPr="00C4710D" w:rsidRDefault="00DC3183" w:rsidP="00DC3183"/>
    <w:p w14:paraId="3CD9EFDF" w14:textId="06C1DF80" w:rsidR="00E455FD" w:rsidRPr="00C4710D" w:rsidRDefault="00E455FD" w:rsidP="00E455FD">
      <w:pPr>
        <w:pStyle w:val="Heading2"/>
      </w:pPr>
      <w:bookmarkStart w:id="60" w:name="_Toc58467608"/>
      <w:bookmarkStart w:id="61" w:name="_Toc58493847"/>
      <w:bookmarkStart w:id="62" w:name="_Toc59531767"/>
      <w:r w:rsidRPr="00C4710D">
        <w:t>Concerns Raised by Heelstone</w:t>
      </w:r>
      <w:bookmarkEnd w:id="60"/>
      <w:bookmarkEnd w:id="61"/>
      <w:bookmarkEnd w:id="62"/>
      <w:r w:rsidRPr="00C4710D">
        <w:t xml:space="preserve"> </w:t>
      </w:r>
    </w:p>
    <w:p w14:paraId="6EFC30D0" w14:textId="77777777" w:rsidR="000E2251" w:rsidRPr="00C4710D" w:rsidRDefault="000E2251" w:rsidP="000E2251">
      <w:bookmarkStart w:id="63" w:name="_Toc58467612"/>
    </w:p>
    <w:p w14:paraId="5BE99CD0" w14:textId="34EDF909" w:rsidR="000E2251" w:rsidRPr="00C4710D" w:rsidRDefault="002973E4" w:rsidP="000E2251">
      <w:pPr>
        <w:ind w:left="720" w:hanging="720"/>
        <w:rPr>
          <w:rFonts w:ascii="Times New Roman Bold" w:hAnsi="Times New Roman Bold"/>
          <w:b/>
          <w:bCs/>
          <w:caps/>
        </w:rPr>
      </w:pPr>
      <w:r w:rsidRPr="00C4710D">
        <w:rPr>
          <w:rFonts w:ascii="Times New Roman Bold" w:hAnsi="Times New Roman Bold"/>
          <w:b/>
          <w:bCs/>
          <w:caps/>
        </w:rPr>
        <w:t>Q.</w:t>
      </w:r>
      <w:r w:rsidR="009A58ED" w:rsidRPr="00C4710D">
        <w:rPr>
          <w:rFonts w:ascii="Times New Roman Bold" w:hAnsi="Times New Roman Bold"/>
          <w:b/>
          <w:bCs/>
          <w:caps/>
        </w:rPr>
        <w:t xml:space="preserve"> </w:t>
      </w:r>
      <w:r w:rsidR="00AF53D5" w:rsidRPr="00C4710D">
        <w:rPr>
          <w:rFonts w:ascii="Times New Roman Bold" w:hAnsi="Times New Roman Bold"/>
          <w:b/>
          <w:bCs/>
          <w:caps/>
        </w:rPr>
        <w:tab/>
      </w:r>
      <w:r w:rsidR="000E2251" w:rsidRPr="00C4710D">
        <w:rPr>
          <w:rFonts w:ascii="Times New Roman Bold" w:hAnsi="Times New Roman Bold"/>
          <w:b/>
          <w:bCs/>
          <w:caps/>
        </w:rPr>
        <w:t xml:space="preserve">HEELSTONE SEEMED SURPRISED TO LEARN THERE IS MORE THAN ONE SYSTEM LAMBDA, AND It CALCULATED AN EXAMPLE TO Show a significant DEVIATION BETWEEN THE TWO LAMBDAS. CAN THE COMPANY EXPLAIN THE LARGE DIFFERENCES HEELSTONE IS SEEING? </w:t>
      </w:r>
    </w:p>
    <w:p w14:paraId="2C31BE24" w14:textId="41A57537" w:rsidR="000E2251" w:rsidRPr="00C4710D" w:rsidRDefault="000E2251" w:rsidP="000E2251">
      <w:pPr>
        <w:ind w:left="720" w:hanging="720"/>
        <w:rPr>
          <w:bCs/>
        </w:rPr>
      </w:pPr>
      <w:r w:rsidRPr="00C4710D">
        <w:rPr>
          <w:bCs/>
        </w:rPr>
        <w:t>A.</w:t>
      </w:r>
      <w:r w:rsidR="009A58ED" w:rsidRPr="00C4710D">
        <w:rPr>
          <w:bCs/>
        </w:rPr>
        <w:t xml:space="preserve"> </w:t>
      </w:r>
      <w:r w:rsidRPr="00C4710D">
        <w:rPr>
          <w:bCs/>
        </w:rPr>
        <w:tab/>
      </w:r>
      <w:r w:rsidR="00AF53D5" w:rsidRPr="00C4710D">
        <w:rPr>
          <w:bCs/>
        </w:rPr>
        <w:t>Although Heelstone is correct that the Company utilizes both top of stack (“TOS”) lambdas and bottom of stack (“BOS”) lambdas, with the difference being opportunity sales, the biggest contributor to the large variances Heelstone reports appears to be due to a mismatch of units in its calculations.</w:t>
      </w:r>
      <w:r w:rsidR="002973E4" w:rsidRPr="00C4710D">
        <w:rPr>
          <w:bCs/>
        </w:rPr>
        <w:t xml:space="preserve"> </w:t>
      </w:r>
      <w:r w:rsidR="00AF53D5" w:rsidRPr="00C4710D">
        <w:rPr>
          <w:bCs/>
        </w:rPr>
        <w:t>In the Company’s response to STF-4-6 (QF compensation), the data is in cents/kWh, and in the Company’s response to STF-4-8 (TOS lambda, FERC Form 714), the data is in $/MWh, which differs by a factor of 10</w:t>
      </w:r>
      <w:r w:rsidRPr="00C4710D">
        <w:rPr>
          <w:bCs/>
        </w:rPr>
        <w:t>.</w:t>
      </w:r>
    </w:p>
    <w:p w14:paraId="0B58381C" w14:textId="77777777" w:rsidR="000E2251" w:rsidRPr="00C4710D" w:rsidRDefault="000E2251" w:rsidP="000E2251">
      <w:pPr>
        <w:ind w:left="720" w:hanging="720"/>
      </w:pPr>
    </w:p>
    <w:p w14:paraId="7D4476E2" w14:textId="77777777" w:rsidR="00331071" w:rsidRPr="00C4710D" w:rsidRDefault="00331071" w:rsidP="00331071">
      <w:pPr>
        <w:ind w:left="720" w:hanging="720"/>
        <w:rPr>
          <w:rFonts w:ascii="Times New Roman Bold" w:hAnsi="Times New Roman Bold"/>
          <w:b/>
          <w:bCs/>
          <w:caps/>
        </w:rPr>
      </w:pPr>
      <w:r w:rsidRPr="00C4710D">
        <w:rPr>
          <w:rFonts w:ascii="Times New Roman Bold" w:hAnsi="Times New Roman Bold"/>
          <w:b/>
          <w:bCs/>
          <w:caps/>
        </w:rPr>
        <w:t xml:space="preserve">Q. </w:t>
      </w:r>
      <w:r w:rsidRPr="00C4710D">
        <w:rPr>
          <w:rFonts w:ascii="Times New Roman Bold" w:hAnsi="Times New Roman Bold"/>
          <w:b/>
          <w:bCs/>
          <w:caps/>
        </w:rPr>
        <w:tab/>
        <w:t xml:space="preserve">what energy compensation structure and term LENGTH has heelstone agreed to in its energy-only PPAs? </w:t>
      </w:r>
    </w:p>
    <w:p w14:paraId="42506D15" w14:textId="4A9AF425" w:rsidR="000E2251" w:rsidRPr="00C4710D" w:rsidRDefault="002973E4" w:rsidP="00331071">
      <w:pPr>
        <w:ind w:left="720" w:hanging="720"/>
      </w:pPr>
      <w:r w:rsidRPr="00C4710D">
        <w:t>A.</w:t>
      </w:r>
      <w:r w:rsidR="00331071" w:rsidRPr="00C4710D">
        <w:t xml:space="preserve"> </w:t>
      </w:r>
      <w:r w:rsidR="00331071" w:rsidRPr="00C4710D">
        <w:tab/>
        <w:t>The Heelstone Energy-Only PPAs include a variable energy rate for the 20-year term of each contract. The energy price that Heelstone will be paid will be made known to Heelstone at 4pm on the day before the QF expects to deliver the energy to Georgia Power. The Company permits a QF to select the desired term of its PPAs, and Heelstone requested a term length of 20 years. This means that throughout those 20 years, Heelstone will be provided day-ahead price signals, which var</w:t>
      </w:r>
      <w:r w:rsidR="00090AA6" w:rsidRPr="00C4710D">
        <w:t>y</w:t>
      </w:r>
      <w:r w:rsidR="00331071" w:rsidRPr="00C4710D">
        <w:t xml:space="preserve"> with the Company’s actual avoided cost that are impacted primarily </w:t>
      </w:r>
      <w:r w:rsidR="0001238C" w:rsidRPr="00C4710D">
        <w:t xml:space="preserve">by </w:t>
      </w:r>
      <w:r w:rsidR="00331071" w:rsidRPr="00C4710D">
        <w:t>natural gas prices, and which gives meaning to the term “variable energy price” included in this QF’s executed PPAs</w:t>
      </w:r>
      <w:r w:rsidR="000E2251" w:rsidRPr="00C4710D">
        <w:t xml:space="preserve">. </w:t>
      </w:r>
    </w:p>
    <w:p w14:paraId="22759985" w14:textId="77777777" w:rsidR="000E2251" w:rsidRPr="00C4710D" w:rsidRDefault="000E2251" w:rsidP="000E2251">
      <w:pPr>
        <w:ind w:left="720" w:hanging="720"/>
      </w:pPr>
      <w:r w:rsidRPr="00C4710D">
        <w:t xml:space="preserve"> </w:t>
      </w:r>
    </w:p>
    <w:p w14:paraId="4334F7A2" w14:textId="77777777" w:rsidR="00175B22" w:rsidRPr="00C4710D" w:rsidRDefault="00175B22" w:rsidP="00175B22">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 xml:space="preserve">is the energy compensation formula referred to in Section 8.1.1(ii) of the heelstone PPAs subject to change during the Contract term? </w:t>
      </w:r>
    </w:p>
    <w:p w14:paraId="571BA590" w14:textId="487F2613" w:rsidR="000E2251" w:rsidRPr="00C4710D" w:rsidRDefault="00175B22" w:rsidP="00175B22">
      <w:pPr>
        <w:ind w:left="720" w:hanging="720"/>
      </w:pPr>
      <w:r w:rsidRPr="00C4710D">
        <w:t xml:space="preserve">A. </w:t>
      </w:r>
      <w:r w:rsidRPr="00C4710D">
        <w:tab/>
        <w:t>Yes. In fact, that is why the pro forma Energy-Only PPA purposefully referred to the “GPSC Order in Docket No. 4822” and the “formula set forth in Docket No. 4822,” rather than to the “formula found on pages 12, and 24-25 of the 1994 Final Order in Docket No. 4822.” Contrast this to the capacity payment elements and formula that is laid out in Section 9 of the current pro forma Firm Capacity and Energy PPA, which are fixed by the plain language of the PPA, and the Monthly Administrative Charge, initially set at a fixed value ($100) with instructions on how that exact value can be adjusted by the Company with Commission review. This proceeding is appropriately addressing whether any changes are needed to the avoided cost formula as outlined in the PSO, whose elements are not expressly stated in the PPA, such that logically, any adjustments made to it are not retro-actively applied, but simply applied as that formula changes. The energy payment formula, however modified and approved by this Commission through this proceeding</w:t>
      </w:r>
      <w:r w:rsidR="0001238C" w:rsidRPr="00C4710D">
        <w:t>,</w:t>
      </w:r>
      <w:r w:rsidRPr="00C4710D">
        <w:t xml:space="preserve"> will be effectuated through a “GPSC Order in Docket No. 4822” and becomes “the formula set forth in Docket No. 4822” as plainly stated in Heelstone’s executed Energy-Only PPAs</w:t>
      </w:r>
      <w:r w:rsidR="000E2251" w:rsidRPr="00C4710D">
        <w:t xml:space="preserve">. </w:t>
      </w:r>
    </w:p>
    <w:p w14:paraId="5AAB58C8" w14:textId="77777777" w:rsidR="000E2251" w:rsidRPr="00C4710D" w:rsidRDefault="000E2251" w:rsidP="000E2251">
      <w:pPr>
        <w:ind w:left="720" w:hanging="720"/>
        <w:rPr>
          <w:rFonts w:ascii="Times New Roman Bold" w:hAnsi="Times New Roman Bold"/>
          <w:b/>
          <w:caps/>
        </w:rPr>
      </w:pPr>
      <w:r w:rsidRPr="00C4710D">
        <w:tab/>
      </w:r>
    </w:p>
    <w:p w14:paraId="7A79D7D4" w14:textId="406DEA48"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9367D5"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t xml:space="preserve">Heelstone refers to the FERC Order 872 provision that prohibits a state commission from “toggling” a QF’s contractual rate structure back and forth unilaterally from one to the other as circumstances change” as evidence this Commission cannot change the energy formula accessed in Docket No. 4822. Is this an appropriate reference or assertion? </w:t>
      </w:r>
    </w:p>
    <w:p w14:paraId="2F59E4CA" w14:textId="79B5D606" w:rsidR="000E2251" w:rsidRPr="00C4710D" w:rsidRDefault="000E2251" w:rsidP="000E2251">
      <w:pPr>
        <w:ind w:left="720" w:hanging="720"/>
      </w:pPr>
      <w:r w:rsidRPr="00C4710D">
        <w:t>A</w:t>
      </w:r>
      <w:r w:rsidR="009367D5" w:rsidRPr="00C4710D">
        <w:t>.</w:t>
      </w:r>
      <w:r w:rsidRPr="00C4710D">
        <w:t xml:space="preserve"> </w:t>
      </w:r>
      <w:r w:rsidRPr="00C4710D">
        <w:tab/>
        <w:t xml:space="preserve">No. In Order 872, FERC is talking about “toggling” back and forth between a fixed energy payment and a variable energy payment, not an adjustment to a variable energy payment formula already contemplated to change within the structure of the executed Energy-Only PPAs. </w:t>
      </w:r>
      <w:r w:rsidR="002B709C" w:rsidRPr="00C4710D">
        <w:t>That this Commission has not opted to open the docket for review until this year is not a reason for any QF to have reasonably relied on the formula components referred to, but not otherwise fixed in the pro forma PPAs, as having been fixed in perpetuity</w:t>
      </w:r>
      <w:r w:rsidRPr="00C4710D">
        <w:t xml:space="preserve">. </w:t>
      </w:r>
    </w:p>
    <w:p w14:paraId="26AAEE21" w14:textId="77777777" w:rsidR="000E2251" w:rsidRPr="00C4710D" w:rsidRDefault="000E2251" w:rsidP="000E2251">
      <w:pPr>
        <w:ind w:left="720" w:hanging="720"/>
        <w:rPr>
          <w:rFonts w:ascii="Times New Roman Bold" w:hAnsi="Times New Roman Bold"/>
          <w:b/>
          <w:caps/>
        </w:rPr>
      </w:pPr>
    </w:p>
    <w:p w14:paraId="067E2C2D" w14:textId="65BF7ACD"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9367D5"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t xml:space="preserve">Heelstone SAYS if THIS Commission adjusts components to the energy-payment formula IN DOCKET No. 4822, its financiers will “lose certainty” in the variable energy price the QF will be paid; but is price certainty guaranteed under purpa or reasonably expected when a contract includes variable energy pricING? </w:t>
      </w:r>
    </w:p>
    <w:p w14:paraId="31717910" w14:textId="189947A6" w:rsidR="000E2251" w:rsidRPr="00C4710D" w:rsidRDefault="000E2251" w:rsidP="000E2251">
      <w:pPr>
        <w:ind w:left="720" w:hanging="720"/>
      </w:pPr>
      <w:r w:rsidRPr="00C4710D">
        <w:t>A</w:t>
      </w:r>
      <w:r w:rsidR="009367D5" w:rsidRPr="00C4710D">
        <w:t>.</w:t>
      </w:r>
      <w:r w:rsidRPr="00C4710D">
        <w:t xml:space="preserve"> </w:t>
      </w:r>
      <w:r w:rsidRPr="00C4710D">
        <w:tab/>
        <w:t>No, by definition, variable energy pricing means the energy pricing varies, and price certainty is not guaranteed. FERC addressed this same concern raised by QFs in its PURPA review recently, and Order 872 confirmed, and Order 872-A reconfirmed, that offering variable energy pricing in a PURPA contract was the “superior” method to balance the need for a QF to obtain financing with the Congressional intent to avoid customers subsidizing QF costs. FERC further opined that “PURPA does not guarantee QFs a rate that, in turn, guarantees financing,” which Georgia Power further reasonably extrapolates to include “rates that give potential QF financiers certainty.”</w:t>
      </w:r>
      <w:r w:rsidRPr="00C4710D">
        <w:rPr>
          <w:rStyle w:val="FootnoteReference"/>
        </w:rPr>
        <w:footnoteReference w:id="36"/>
      </w:r>
    </w:p>
    <w:p w14:paraId="693E35EC" w14:textId="77777777" w:rsidR="000E2251" w:rsidRPr="00C4710D" w:rsidRDefault="000E2251" w:rsidP="000E2251">
      <w:pPr>
        <w:ind w:left="720" w:hanging="720"/>
      </w:pPr>
    </w:p>
    <w:p w14:paraId="12A79A25" w14:textId="47328CB5" w:rsidR="000E2251" w:rsidRPr="00C4710D" w:rsidRDefault="000E2251" w:rsidP="000E2251">
      <w:pPr>
        <w:ind w:left="720" w:hanging="720"/>
        <w:rPr>
          <w:rFonts w:ascii="Times New Roman Bold" w:hAnsi="Times New Roman Bold"/>
          <w:b/>
          <w:caps/>
        </w:rPr>
      </w:pPr>
      <w:r w:rsidRPr="00C4710D">
        <w:rPr>
          <w:rFonts w:ascii="Times New Roman Bold" w:hAnsi="Times New Roman Bold"/>
          <w:b/>
          <w:caps/>
        </w:rPr>
        <w:t>Q</w:t>
      </w:r>
      <w:r w:rsidR="009367D5" w:rsidRPr="00C4710D">
        <w:rPr>
          <w:rFonts w:ascii="Times New Roman Bold" w:hAnsi="Times New Roman Bold"/>
          <w:b/>
          <w:caps/>
        </w:rPr>
        <w:t>.</w:t>
      </w:r>
      <w:r w:rsidRPr="00C4710D">
        <w:rPr>
          <w:rFonts w:ascii="Times New Roman Bold" w:hAnsi="Times New Roman Bold"/>
          <w:b/>
          <w:caps/>
        </w:rPr>
        <w:t xml:space="preserve"> </w:t>
      </w:r>
      <w:r w:rsidRPr="00C4710D">
        <w:rPr>
          <w:rFonts w:ascii="Times New Roman Bold" w:hAnsi="Times New Roman Bold"/>
          <w:b/>
          <w:caps/>
        </w:rPr>
        <w:tab/>
        <w:t xml:space="preserve">WHAT WOULD be the effect if the COMMISSION GRANTS Heelstone’s REQUEST to “grandfather” its contracts without any modifications to the energy </w:t>
      </w:r>
      <w:r w:rsidR="00CF3158" w:rsidRPr="00C4710D">
        <w:rPr>
          <w:rFonts w:ascii="Times New Roman Bold" w:hAnsi="Times New Roman Bold"/>
          <w:b/>
          <w:caps/>
        </w:rPr>
        <w:t xml:space="preserve">PAYMENT </w:t>
      </w:r>
      <w:r w:rsidRPr="00C4710D">
        <w:rPr>
          <w:rFonts w:ascii="Times New Roman Bold" w:hAnsi="Times New Roman Bold"/>
          <w:b/>
          <w:caps/>
        </w:rPr>
        <w:t xml:space="preserve">formula? </w:t>
      </w:r>
    </w:p>
    <w:p w14:paraId="42D13723" w14:textId="35951D70" w:rsidR="000E2251" w:rsidRPr="00C4710D" w:rsidRDefault="000E2251" w:rsidP="000E2251">
      <w:pPr>
        <w:ind w:left="720" w:hanging="720"/>
      </w:pPr>
      <w:r w:rsidRPr="00C4710D">
        <w:t>A</w:t>
      </w:r>
      <w:r w:rsidR="009367D5" w:rsidRPr="00C4710D">
        <w:t>.</w:t>
      </w:r>
      <w:r w:rsidRPr="00C4710D">
        <w:t xml:space="preserve"> </w:t>
      </w:r>
      <w:r w:rsidRPr="00C4710D">
        <w:tab/>
        <w:t xml:space="preserve">We do not think Heelstone completely understands what it is requesting and the impact of that request. The variable energy payment to be paid under the Heelstone Energy-Only PPAs includes four elements. First is the removal of the Marginal Cost Multiplier, which will have no impact on the pricing Heelstone will receive once its projects are constructed because the Marginal Cost Multiplier has been set, and remains at “1.0,” and is not expected to change (hence Georgia Power’s request to remove it). </w:t>
      </w:r>
      <w:r w:rsidR="009367D5" w:rsidRPr="00C4710D">
        <w:t xml:space="preserve">Second, the application of the Fuel Cost Multiplier as shown in the Company’s response to STF-4-6, </w:t>
      </w:r>
      <w:r w:rsidR="00BB1C84" w:rsidRPr="00C4710D">
        <w:t xml:space="preserve">has fluctuated </w:t>
      </w:r>
      <w:r w:rsidR="009367D5" w:rsidRPr="00C4710D">
        <w:t>from between .86 to 1.13 when applied to QF compensation.</w:t>
      </w:r>
      <w:r w:rsidR="002973E4" w:rsidRPr="00C4710D">
        <w:t xml:space="preserve"> </w:t>
      </w:r>
      <w:r w:rsidRPr="00C4710D">
        <w:t>That means, in any particular year, the Fuel Cost Multiplier can either increase or decrease the variable energy cost, which certainly impacts the variability of the energy price.</w:t>
      </w:r>
      <w:r w:rsidR="002973E4" w:rsidRPr="00C4710D">
        <w:t xml:space="preserve"> </w:t>
      </w:r>
      <w:r w:rsidRPr="00C4710D">
        <w:t>In other words, if Heelstone seeks more certainty in its payment projections, it would benefit more if the Fuel Cost Multiplier were removed. Third, the application of the energy components of the RCB Framework is two-fold: (i) the application of the Reduced Transmission Losses and Reduced Distribution Losses (collectively, the “Reduced T&amp;D Losses”), where applicable, and (ii) the application of the Support Capacity Regulating Reserves production costs component. Because Heelstone</w:t>
      </w:r>
      <w:r w:rsidR="0001238C" w:rsidRPr="00C4710D">
        <w:t>’s</w:t>
      </w:r>
      <w:r w:rsidRPr="00C4710D">
        <w:t xml:space="preserve"> projects will be interconnecting on the transmission system, the application of the Reduced T&amp;D Losses to Heelstone’s energy pricing can be expected to be on the lower end of the 0-7% projected benefit but will still provide an overall benefit to Heelstone. That leaves the Support Capacity Regulating Reserve production costs, which, over time, </w:t>
      </w:r>
      <w:r w:rsidR="004944C8" w:rsidRPr="00C4710D">
        <w:t xml:space="preserve">will fluctuate. </w:t>
      </w:r>
      <w:r w:rsidR="00CF3158" w:rsidRPr="00C4710D">
        <w:t xml:space="preserve">In sum, Heelstone may benefit from the removal of both multipliers and the addition of the Reduced T&amp;D Losses benefit, </w:t>
      </w:r>
      <w:r w:rsidR="00F673C9" w:rsidRPr="00C4710D">
        <w:t>while</w:t>
      </w:r>
      <w:r w:rsidR="00CF3158" w:rsidRPr="00C4710D">
        <w:t xml:space="preserve"> application of the Support Capacity Regulating Reserve component of the RCB Framework leaves Heelstone with no greater uncertainty than it had by retaining the Fuel Cost Multiplier or that Heelstone could have reasonably expected based on the fact that its Energy-Only PPA includes variable pricing established the day before delivery throughout the entire contract term</w:t>
      </w:r>
      <w:r w:rsidR="004944C8" w:rsidRPr="00C4710D">
        <w:t xml:space="preserve">. </w:t>
      </w:r>
    </w:p>
    <w:p w14:paraId="6F3D0E4E" w14:textId="77777777" w:rsidR="000E2251" w:rsidRPr="00C4710D" w:rsidRDefault="000E2251" w:rsidP="000E2251">
      <w:pPr>
        <w:ind w:left="720" w:hanging="720"/>
      </w:pPr>
    </w:p>
    <w:p w14:paraId="5258B199" w14:textId="695E977F" w:rsidR="00477788" w:rsidRPr="00C4710D" w:rsidRDefault="00477788" w:rsidP="00477788">
      <w:pPr>
        <w:ind w:left="720" w:hanging="720"/>
        <w:rPr>
          <w:rFonts w:ascii="Times New Roman Bold" w:hAnsi="Times New Roman Bold"/>
          <w:b/>
          <w:caps/>
        </w:rPr>
      </w:pPr>
      <w:r w:rsidRPr="00C4710D">
        <w:rPr>
          <w:rFonts w:ascii="Times New Roman Bold" w:hAnsi="Times New Roman Bold"/>
          <w:b/>
          <w:caps/>
        </w:rPr>
        <w:t xml:space="preserve">Q. </w:t>
      </w:r>
      <w:r w:rsidRPr="00C4710D">
        <w:rPr>
          <w:rFonts w:ascii="Times New Roman Bold" w:hAnsi="Times New Roman Bold"/>
          <w:b/>
          <w:caps/>
        </w:rPr>
        <w:tab/>
        <w:t>Should the Commission GRANT Heelstone’s request to “grandfather” the unmodified energy payment formula in its PPAs or to otherwise fix the energy pricing stream for THE 20</w:t>
      </w:r>
      <w:r w:rsidR="00F673C9" w:rsidRPr="00C4710D">
        <w:rPr>
          <w:rFonts w:ascii="Times New Roman Bold" w:hAnsi="Times New Roman Bold"/>
          <w:b/>
          <w:caps/>
        </w:rPr>
        <w:t>-</w:t>
      </w:r>
      <w:r w:rsidRPr="00C4710D">
        <w:rPr>
          <w:rFonts w:ascii="Times New Roman Bold" w:hAnsi="Times New Roman Bold"/>
          <w:b/>
          <w:caps/>
        </w:rPr>
        <w:t>year term?</w:t>
      </w:r>
    </w:p>
    <w:p w14:paraId="79E9C904" w14:textId="2688CB05" w:rsidR="000E2251" w:rsidRPr="00C4710D" w:rsidRDefault="00477788" w:rsidP="00477788">
      <w:pPr>
        <w:ind w:left="720" w:hanging="720"/>
      </w:pPr>
      <w:r w:rsidRPr="00C4710D">
        <w:t xml:space="preserve">A. </w:t>
      </w:r>
      <w:r w:rsidRPr="00C4710D">
        <w:tab/>
        <w:t>No. For the reasons stated above, the energy payment formula approved in Docket No. 4822 has always been subject to adjustment by the Commission, which is why the formula was not memorialized in the pro forma PPAs in the first place. The definition of “Georgia Power Company Territorial Hourly Avoided Energy Rate” embedded in the existing pro forma Energy-Only PPA points a QF to the Commission’s orders in Docket No. 4822 to calculate the energy rate. It is logical that any adjustment the Commission now makes to its energy payment formula will apply to the energy payments Georgia Power pays to all QFs who hold existing Energy-Only PPAs. More importantly, if the Commission decided to reverse decades of successful PURPA policy to now fix energy payments for Heelstone, or any QF in Docket No. 4822, it significantly increases the risk that Georgia Power customers will pay these QFs more than avoided cost in violation of PURPA. The recent FERC Orders 872 and 872-A very clearly encourage a variable energy rate payment and enumerate several instances where states had approved fixed energy pricing that resulted in customers paying more than avoided cost. As this Commission recognized in 1994, fixed energy payments would be a decided step backwards for Georgia and should not be incorporated in our PURPA program</w:t>
      </w:r>
      <w:r w:rsidR="005B1DF7" w:rsidRPr="00C4710D">
        <w:t>s</w:t>
      </w:r>
      <w:r w:rsidRPr="00C4710D">
        <w:t>. This is especially true</w:t>
      </w:r>
      <w:r w:rsidR="002973E4" w:rsidRPr="00C4710D">
        <w:t xml:space="preserve"> </w:t>
      </w:r>
      <w:r w:rsidRPr="00C4710D">
        <w:t>considering Georgia’s model is the poster child for a successful variable energy payment approach. Moreover, treating Heelstone in any “one-off” special way without substantial justification</w:t>
      </w:r>
      <w:r w:rsidR="0060346D" w:rsidRPr="00C4710D">
        <w:t>,</w:t>
      </w:r>
      <w:r w:rsidRPr="00C4710D">
        <w:t xml:space="preserve"> such as that contemplated in the Commission’s 1994 Final Order, would be favoring and treating one QF differently than all other similarly situated QFs, which is not supported by the Company</w:t>
      </w:r>
      <w:r w:rsidR="000E2251" w:rsidRPr="00C4710D">
        <w:t xml:space="preserve">. </w:t>
      </w:r>
    </w:p>
    <w:p w14:paraId="18D19F2F" w14:textId="77777777" w:rsidR="000E2251" w:rsidRPr="00C4710D" w:rsidRDefault="000E2251" w:rsidP="000E2251">
      <w:pPr>
        <w:ind w:left="720" w:hanging="720"/>
      </w:pPr>
    </w:p>
    <w:p w14:paraId="5F914191" w14:textId="34971E0A" w:rsidR="009C5B2F" w:rsidRPr="00C4710D" w:rsidRDefault="002973E4" w:rsidP="009C5B2F">
      <w:pPr>
        <w:ind w:left="720" w:hanging="720"/>
        <w:rPr>
          <w:rFonts w:ascii="Times New Roman Bold" w:hAnsi="Times New Roman Bold"/>
          <w:b/>
          <w:caps/>
        </w:rPr>
      </w:pPr>
      <w:r w:rsidRPr="00C4710D">
        <w:rPr>
          <w:rFonts w:ascii="Times New Roman Bold" w:hAnsi="Times New Roman Bold"/>
          <w:b/>
          <w:caps/>
        </w:rPr>
        <w:t>Q.</w:t>
      </w:r>
      <w:r w:rsidR="009C5B2F" w:rsidRPr="00C4710D">
        <w:rPr>
          <w:rFonts w:ascii="Times New Roman Bold" w:hAnsi="Times New Roman Bold"/>
          <w:b/>
          <w:caps/>
        </w:rPr>
        <w:t xml:space="preserve"> </w:t>
      </w:r>
      <w:r w:rsidR="009C5B2F" w:rsidRPr="00C4710D">
        <w:rPr>
          <w:rFonts w:ascii="Times New Roman Bold" w:hAnsi="Times New Roman Bold"/>
          <w:b/>
          <w:caps/>
        </w:rPr>
        <w:tab/>
        <w:t xml:space="preserve">FERC SAYS avoided cost projections are inherently imperfect and, as a result, fixing energy payments MEANS consumers TYPICALLY BEAR the brunt of overpayments resulting in qf subsidization in contravention of Congressional intent and FERC’s expectations. HAVE georgia power’s avoided cost projections varied in this same way over time? </w:t>
      </w:r>
    </w:p>
    <w:p w14:paraId="3FD6CBC2" w14:textId="246842FF" w:rsidR="000E2251" w:rsidRPr="00C4710D" w:rsidRDefault="002973E4" w:rsidP="009C5B2F">
      <w:pPr>
        <w:ind w:left="720" w:hanging="720"/>
      </w:pPr>
      <w:r w:rsidRPr="00C4710D">
        <w:t>A.</w:t>
      </w:r>
      <w:r w:rsidR="009C5B2F" w:rsidRPr="00C4710D">
        <w:t xml:space="preserve"> </w:t>
      </w:r>
      <w:r w:rsidR="009C5B2F" w:rsidRPr="00C4710D">
        <w:tab/>
        <w:t xml:space="preserve">Yes, Georgia Power’s experience with avoided cost swings over the past several years is </w:t>
      </w:r>
      <w:r w:rsidR="007B2681" w:rsidRPr="00C4710D">
        <w:t xml:space="preserve">shown </w:t>
      </w:r>
      <w:r w:rsidR="009C5B2F" w:rsidRPr="00C4710D">
        <w:t xml:space="preserve">in </w:t>
      </w:r>
      <w:r w:rsidR="009C5B2F" w:rsidRPr="00C4710D">
        <w:rPr>
          <w:rFonts w:eastAsia="MS Mincho"/>
          <w:bCs/>
        </w:rPr>
        <w:t>Exhibit JRG/</w:t>
      </w:r>
      <w:r w:rsidR="00090AA6" w:rsidRPr="00C4710D">
        <w:rPr>
          <w:rFonts w:eastAsia="MS Mincho"/>
          <w:bCs/>
        </w:rPr>
        <w:t>A</w:t>
      </w:r>
      <w:r w:rsidR="009C5B2F" w:rsidRPr="00C4710D">
        <w:rPr>
          <w:rFonts w:eastAsia="MS Mincho"/>
          <w:bCs/>
        </w:rPr>
        <w:t xml:space="preserve">WM/JBW – S1 </w:t>
      </w:r>
      <w:r w:rsidR="009C5B2F" w:rsidRPr="00C4710D">
        <w:t xml:space="preserve">attached to this testimony. This </w:t>
      </w:r>
      <w:r w:rsidR="0060346D" w:rsidRPr="00C4710D">
        <w:t>e</w:t>
      </w:r>
      <w:r w:rsidR="009C5B2F" w:rsidRPr="00C4710D">
        <w:t xml:space="preserve">xhibit lays out the impact our customers would have borne had the Commission locked in rates at the 2011 avoided energy cost projections ten years ago. </w:t>
      </w:r>
      <w:r w:rsidR="00CB0D67" w:rsidRPr="00C4710D">
        <w:t>E</w:t>
      </w:r>
      <w:r w:rsidR="009C5B2F" w:rsidRPr="00C4710D">
        <w:t>xhibit</w:t>
      </w:r>
      <w:r w:rsidR="00CB0D67" w:rsidRPr="00C4710D">
        <w:t xml:space="preserve"> S1</w:t>
      </w:r>
      <w:r w:rsidR="009C5B2F" w:rsidRPr="00C4710D">
        <w:t xml:space="preserve"> proves that if this Commission had initially approved fixed payments, or now reverses its successful precedent of avoiding customers’ subsidy of QFs by instituting long-term fixed energy pricing in these PURPA contracts, Georgia Power’s customers will be taking the exact risk that FERC has now clearly said should be avoided. After hearing significant testimony in its PURPA docket, FERC proclaimed in Order No. 872-A that the “variable avoided cost energy rate approach is a </w:t>
      </w:r>
      <w:r w:rsidR="009C5B2F" w:rsidRPr="00C4710D">
        <w:rPr>
          <w:i/>
          <w:iCs/>
        </w:rPr>
        <w:t>superior</w:t>
      </w:r>
      <w:r w:rsidR="009C5B2F" w:rsidRPr="00C4710D">
        <w:t xml:space="preserve"> way to ensure that payments to QFs equal, but do not exceed, avoided costs,” because “it is inevitable that, over the life of a QF contract or other [legally enforceable obligation], a fixed avoided cost energy rate, such as that used in the past years, will deviate from actual avoided costs.”</w:t>
      </w:r>
      <w:r w:rsidR="009C5B2F" w:rsidRPr="00C4710D">
        <w:rPr>
          <w:rStyle w:val="FootnoteReference"/>
        </w:rPr>
        <w:footnoteReference w:id="37"/>
      </w:r>
      <w:r w:rsidR="009C5B2F" w:rsidRPr="00C4710D">
        <w:t xml:space="preserve"> Back in 1994, if rather than wisely approving the day-ahead variable energy pricing method, this Commission had instead approved fixed energy payments, our customers would have certainly overpaid and subsidized QFs over these many years</w:t>
      </w:r>
      <w:r w:rsidR="000E2251" w:rsidRPr="00C4710D">
        <w:t xml:space="preserve">. </w:t>
      </w:r>
    </w:p>
    <w:p w14:paraId="2E539A15" w14:textId="77777777" w:rsidR="000E2251" w:rsidRPr="00C4710D" w:rsidRDefault="000E2251" w:rsidP="000E2251">
      <w:pPr>
        <w:ind w:left="720" w:hanging="720"/>
        <w:rPr>
          <w:rFonts w:ascii="Times New Roman Bold" w:hAnsi="Times New Roman Bold"/>
          <w:b/>
          <w:caps/>
        </w:rPr>
      </w:pPr>
    </w:p>
    <w:p w14:paraId="584AF1D7" w14:textId="7E074F5F" w:rsidR="000E2251" w:rsidRPr="00C4710D" w:rsidRDefault="002973E4" w:rsidP="000E2251">
      <w:pPr>
        <w:ind w:left="720" w:hanging="720"/>
        <w:rPr>
          <w:rFonts w:ascii="Times New Roman Bold" w:hAnsi="Times New Roman Bold"/>
          <w:b/>
          <w:caps/>
        </w:rPr>
      </w:pPr>
      <w:r w:rsidRPr="00C4710D">
        <w:rPr>
          <w:rFonts w:ascii="Times New Roman Bold" w:hAnsi="Times New Roman Bold"/>
          <w:b/>
          <w:caps/>
        </w:rPr>
        <w:t>Q.</w:t>
      </w:r>
      <w:r w:rsidR="000E2251" w:rsidRPr="00C4710D">
        <w:rPr>
          <w:rFonts w:ascii="Times New Roman Bold" w:hAnsi="Times New Roman Bold"/>
          <w:b/>
          <w:caps/>
        </w:rPr>
        <w:t xml:space="preserve"> </w:t>
      </w:r>
      <w:r w:rsidR="000E2251" w:rsidRPr="00C4710D">
        <w:rPr>
          <w:rFonts w:ascii="Times New Roman Bold" w:hAnsi="Times New Roman Bold"/>
          <w:b/>
          <w:caps/>
        </w:rPr>
        <w:tab/>
        <w:t xml:space="preserve">can you address Heelstone’s testimony that Georgia Power seemed unfamiliar with THe iNTERCONNECTION OBLIGATIONS APPLIED TO aN ENERGY-Only QF? </w:t>
      </w:r>
    </w:p>
    <w:p w14:paraId="4E2CB99E" w14:textId="5BBAD23C" w:rsidR="000E2251" w:rsidRPr="00C4710D" w:rsidRDefault="002973E4" w:rsidP="000E2251">
      <w:pPr>
        <w:ind w:left="720" w:hanging="720"/>
      </w:pPr>
      <w:r w:rsidRPr="00C4710D">
        <w:t>A.</w:t>
      </w:r>
      <w:r w:rsidR="000E2251" w:rsidRPr="00C4710D">
        <w:t xml:space="preserve"> </w:t>
      </w:r>
      <w:r w:rsidR="000E2251" w:rsidRPr="00C4710D">
        <w:tab/>
        <w:t>Yes. Georgia Power obviously has significant experience with how to interconnect generators of all sizes and technology types, which is part of the Company’s everyday business. However, it is also true that in the past several years, most QFs have opted to participate in the multiple new renewable utility scale offerings that this Commission has supported the Company in creating. Moreover, in part because of Georgia’s low avoided costs (which benefit customers), Georgia Power has not had the opportunity to shepherd an energy-only QF of Heelstone’s size through the current interconnection process. It was the Company’s experience with Heelstone that more clearly illuminated the need to ensure a QF either (1) executes a QFIA (where all appropriate costs for transmission system changes are borne by the QF in compliance with this Commission’s standing order) or (2) undergoes an analysis where identified costs, if any, are appropriately</w:t>
      </w:r>
      <w:r w:rsidRPr="00C4710D">
        <w:t xml:space="preserve"> </w:t>
      </w:r>
      <w:r w:rsidR="000E2251" w:rsidRPr="00C4710D">
        <w:t xml:space="preserve">allocated to the QF through the negotiated Energy-Only PPA or </w:t>
      </w:r>
      <w:r w:rsidR="00CF079C" w:rsidRPr="00C4710D">
        <w:t xml:space="preserve">Firm </w:t>
      </w:r>
      <w:r w:rsidR="000E2251" w:rsidRPr="00C4710D">
        <w:t>Capacity and Energy PPA.</w:t>
      </w:r>
    </w:p>
    <w:p w14:paraId="24D9CD8C" w14:textId="77777777" w:rsidR="000E2251" w:rsidRPr="00C4710D" w:rsidRDefault="000E2251" w:rsidP="000E2251">
      <w:pPr>
        <w:ind w:left="720" w:hanging="720"/>
        <w:rPr>
          <w:rFonts w:ascii="Times New Roman Bold" w:hAnsi="Times New Roman Bold"/>
          <w:b/>
          <w:caps/>
        </w:rPr>
      </w:pPr>
    </w:p>
    <w:p w14:paraId="52AF43F5" w14:textId="03E7A7D4" w:rsidR="000E2251" w:rsidRPr="00C4710D" w:rsidRDefault="002973E4" w:rsidP="000E2251">
      <w:pPr>
        <w:ind w:left="720" w:hanging="720"/>
        <w:rPr>
          <w:rFonts w:ascii="Times New Roman Bold" w:hAnsi="Times New Roman Bold"/>
          <w:b/>
          <w:caps/>
        </w:rPr>
      </w:pPr>
      <w:r w:rsidRPr="00C4710D">
        <w:rPr>
          <w:rFonts w:ascii="Times New Roman Bold" w:hAnsi="Times New Roman Bold"/>
          <w:b/>
          <w:caps/>
        </w:rPr>
        <w:t>Q.</w:t>
      </w:r>
      <w:r w:rsidR="000E2251" w:rsidRPr="00C4710D">
        <w:rPr>
          <w:rFonts w:ascii="Times New Roman Bold" w:hAnsi="Times New Roman Bold"/>
          <w:b/>
          <w:caps/>
        </w:rPr>
        <w:t xml:space="preserve"> </w:t>
      </w:r>
      <w:r w:rsidR="000E2251" w:rsidRPr="00C4710D">
        <w:rPr>
          <w:rFonts w:ascii="Times New Roman Bold" w:hAnsi="Times New Roman Bold"/>
          <w:b/>
          <w:caps/>
        </w:rPr>
        <w:tab/>
        <w:t>are you saying that Georgia Power’s experience with Heelstone caused Georgia Power to suggest its currently proposed changes to the QF contracting process?</w:t>
      </w:r>
    </w:p>
    <w:p w14:paraId="28CEEE83" w14:textId="0E2D1FCB" w:rsidR="000E2251" w:rsidRPr="00C4710D" w:rsidRDefault="000E2251" w:rsidP="000E2251">
      <w:pPr>
        <w:ind w:left="720" w:hanging="720"/>
      </w:pPr>
      <w:r w:rsidRPr="00C4710D">
        <w:t xml:space="preserve">A. </w:t>
      </w:r>
      <w:r w:rsidRPr="00C4710D">
        <w:tab/>
        <w:t xml:space="preserve">Yes. Georgia Power understands Heelstone’s explanations as to why it executed, suspended, and cancelled its various interconnection agreements as it explored the Southern Company interconnection process, and Georgia Power has gained valuable knowledge and experience as a result of Heelstone’s engagement. Georgia Power believes both parties worked together with flexibility and good faith, and as stated earlier, our work with Heelstone has identified how a QF that is allowed to execute a pro forma Energy-Only PPA without committing to execute a QFIA can cause cost subsidy by customers. It is not a foregone conclusion that there will be such costs, as Heelstone’s testimony confirms when it reports that Georgia Power’s analysis resulted in zero additional costs imposed on some of its projects. However, it is because it is clear that this order of contracting may result in subsidization of the QF’s costs that Georgia Power now proposes an extra step in its contracting process (i.e., develop a negotiated Energy-Only PPA or </w:t>
      </w:r>
      <w:r w:rsidR="005F1805" w:rsidRPr="00C4710D">
        <w:t>Firm</w:t>
      </w:r>
      <w:r w:rsidR="000264B2" w:rsidRPr="00C4710D">
        <w:t xml:space="preserve"> </w:t>
      </w:r>
      <w:r w:rsidRPr="00C4710D">
        <w:t xml:space="preserve">Capacity and Energy PPA if the QF is not executing an QFIA), to ensure any appropriate costs are captured and borne by the QF in compliance with the Commission’s directive to charge such costs to the QF. </w:t>
      </w:r>
    </w:p>
    <w:p w14:paraId="25A0EFA2" w14:textId="77777777" w:rsidR="000E2251" w:rsidRPr="00C4710D" w:rsidRDefault="000E2251" w:rsidP="000E2251">
      <w:pPr>
        <w:ind w:left="720" w:hanging="720"/>
      </w:pPr>
    </w:p>
    <w:p w14:paraId="2A15DDBD" w14:textId="6E0C07C5" w:rsidR="000E2251" w:rsidRPr="00C4710D" w:rsidRDefault="002973E4" w:rsidP="000E2251">
      <w:pPr>
        <w:ind w:left="720" w:hanging="720"/>
        <w:rPr>
          <w:rFonts w:ascii="Times New Roman Bold" w:hAnsi="Times New Roman Bold"/>
          <w:b/>
          <w:caps/>
        </w:rPr>
      </w:pPr>
      <w:r w:rsidRPr="00C4710D">
        <w:rPr>
          <w:rFonts w:ascii="Times New Roman Bold" w:hAnsi="Times New Roman Bold"/>
          <w:b/>
          <w:caps/>
        </w:rPr>
        <w:t>Q.</w:t>
      </w:r>
      <w:r w:rsidR="000E2251" w:rsidRPr="00C4710D">
        <w:rPr>
          <w:rFonts w:ascii="Times New Roman Bold" w:hAnsi="Times New Roman Bold"/>
          <w:b/>
          <w:caps/>
        </w:rPr>
        <w:t xml:space="preserve"> </w:t>
      </w:r>
      <w:r w:rsidR="000E2251" w:rsidRPr="00C4710D">
        <w:rPr>
          <w:rFonts w:ascii="Times New Roman Bold" w:hAnsi="Times New Roman Bold"/>
          <w:b/>
          <w:caps/>
        </w:rPr>
        <w:tab/>
        <w:t xml:space="preserve">does the Company expect to request commission Review of any Heelstone projects that ultimately do not interconnect through a QFIA to ensure the heelstone QFs bear all appropriate costs </w:t>
      </w:r>
      <w:r w:rsidR="00FD2CEC" w:rsidRPr="00C4710D">
        <w:rPr>
          <w:rFonts w:ascii="Times New Roman Bold" w:hAnsi="Times New Roman Bold"/>
          <w:b/>
          <w:caps/>
        </w:rPr>
        <w:t>IT</w:t>
      </w:r>
      <w:r w:rsidR="000E2251" w:rsidRPr="00C4710D">
        <w:rPr>
          <w:rFonts w:ascii="Times New Roman Bold" w:hAnsi="Times New Roman Bold"/>
          <w:b/>
          <w:caps/>
        </w:rPr>
        <w:t xml:space="preserve"> cause</w:t>
      </w:r>
      <w:r w:rsidR="00FD2CEC" w:rsidRPr="00C4710D">
        <w:rPr>
          <w:rFonts w:ascii="Times New Roman Bold" w:hAnsi="Times New Roman Bold"/>
          <w:b/>
          <w:caps/>
        </w:rPr>
        <w:t>S</w:t>
      </w:r>
      <w:r w:rsidR="000E2251" w:rsidRPr="00C4710D">
        <w:rPr>
          <w:rFonts w:ascii="Times New Roman Bold" w:hAnsi="Times New Roman Bold"/>
          <w:b/>
          <w:caps/>
        </w:rPr>
        <w:t xml:space="preserve"> for changes to the transmission system? </w:t>
      </w:r>
    </w:p>
    <w:p w14:paraId="23E864DE" w14:textId="51891272" w:rsidR="000E2251" w:rsidRPr="00C4710D" w:rsidRDefault="002973E4" w:rsidP="000E2251">
      <w:pPr>
        <w:ind w:left="720" w:hanging="720"/>
      </w:pPr>
      <w:r w:rsidRPr="00C4710D">
        <w:t>A.</w:t>
      </w:r>
      <w:r w:rsidR="000E2251" w:rsidRPr="00C4710D">
        <w:tab/>
        <w:t>Yes. Georgia Power does not believe it has any option other than to make such costs known to the Commission and to ask the Commission to determine whether Georgia Power’s customers should subsidize those QF costs or whether Heelstone should bear them through an adjustment to its energy pricing stream. This is a Commission decision and an appropriate assessment to be undertaken based on this Commission’s clear order to charge to a QF any costs resulting from</w:t>
      </w:r>
      <w:r w:rsidRPr="00C4710D">
        <w:t xml:space="preserve"> </w:t>
      </w:r>
      <w:r w:rsidR="000E2251" w:rsidRPr="00C4710D">
        <w:t>changes to the transmission system caused by the presence of that QF.</w:t>
      </w:r>
      <w:r w:rsidR="000E2251" w:rsidRPr="00C4710D">
        <w:rPr>
          <w:rStyle w:val="FootnoteReference"/>
        </w:rPr>
        <w:footnoteReference w:id="38"/>
      </w:r>
      <w:r w:rsidR="000E2251" w:rsidRPr="00C4710D">
        <w:t xml:space="preserve"> </w:t>
      </w:r>
    </w:p>
    <w:p w14:paraId="25725DE2" w14:textId="77777777" w:rsidR="000E2251" w:rsidRPr="00C4710D" w:rsidRDefault="000E2251" w:rsidP="000E2251">
      <w:pPr>
        <w:ind w:left="720" w:hanging="720"/>
      </w:pPr>
    </w:p>
    <w:p w14:paraId="0C549B3E" w14:textId="4EDEF08D" w:rsidR="00FD2CEC" w:rsidRPr="00C4710D" w:rsidRDefault="002973E4" w:rsidP="00FD2CEC">
      <w:pPr>
        <w:ind w:left="720" w:hanging="720"/>
        <w:rPr>
          <w:rFonts w:ascii="Times New Roman Bold" w:hAnsi="Times New Roman Bold"/>
          <w:b/>
          <w:caps/>
        </w:rPr>
      </w:pPr>
      <w:r w:rsidRPr="00C4710D">
        <w:rPr>
          <w:rFonts w:ascii="Times New Roman Bold" w:hAnsi="Times New Roman Bold"/>
          <w:b/>
          <w:caps/>
        </w:rPr>
        <w:t>Q.</w:t>
      </w:r>
      <w:r w:rsidR="00FD2CEC" w:rsidRPr="00C4710D">
        <w:rPr>
          <w:rFonts w:ascii="Times New Roman Bold" w:hAnsi="Times New Roman Bold"/>
          <w:b/>
          <w:caps/>
        </w:rPr>
        <w:t xml:space="preserve"> </w:t>
      </w:r>
      <w:r w:rsidR="00FD2CEC" w:rsidRPr="00C4710D">
        <w:rPr>
          <w:rFonts w:ascii="Times New Roman Bold" w:hAnsi="Times New Roman Bold"/>
          <w:b/>
          <w:caps/>
        </w:rPr>
        <w:tab/>
        <w:t xml:space="preserve">WOULD A Commission decision to require Heelstone to bear the transmission system costs it May </w:t>
      </w:r>
      <w:r w:rsidR="00114387" w:rsidRPr="00C4710D">
        <w:rPr>
          <w:rFonts w:ascii="Times New Roman Bold" w:hAnsi="Times New Roman Bold"/>
          <w:b/>
          <w:caps/>
        </w:rPr>
        <w:t xml:space="preserve">AVOID </w:t>
      </w:r>
      <w:r w:rsidR="00FD2CEC" w:rsidRPr="00C4710D">
        <w:rPr>
          <w:rFonts w:ascii="Times New Roman Bold" w:hAnsi="Times New Roman Bold"/>
          <w:b/>
          <w:caps/>
        </w:rPr>
        <w:t xml:space="preserve">by ITS CHOICE OF INTERCONNECTION AGREEMENT have implications for any other QF WITH AN EXISTING ENERGY-ONLY CONTRACT? </w:t>
      </w:r>
    </w:p>
    <w:p w14:paraId="21D5FA17" w14:textId="759601E2" w:rsidR="000E2251" w:rsidRPr="00C4710D" w:rsidRDefault="002973E4" w:rsidP="00FD2CEC">
      <w:pPr>
        <w:ind w:left="720" w:hanging="720"/>
      </w:pPr>
      <w:r w:rsidRPr="00C4710D">
        <w:t>A.</w:t>
      </w:r>
      <w:r w:rsidR="00FD2CEC" w:rsidRPr="00C4710D">
        <w:t xml:space="preserve"> </w:t>
      </w:r>
      <w:r w:rsidR="00FD2CEC" w:rsidRPr="00C4710D">
        <w:tab/>
        <w:t xml:space="preserve">We do not expect so, as Heelstone seems uniquely situated as a QF with executed Energy-Only PPAs that were awarded prior to </w:t>
      </w:r>
      <w:r w:rsidR="0055706F" w:rsidRPr="00C4710D">
        <w:t>the QF’s agreement</w:t>
      </w:r>
      <w:r w:rsidR="00FD2CEC" w:rsidRPr="00C4710D">
        <w:t xml:space="preserve"> to bear any identified costs for changes to the transmission system by executing a QFIA or otherwise. In this proceeding, Georgia Power has proposed a method for tendering a pro forma Energy-Only PPA and a pro forma Firm Capacity and Energy PPA in a way that prevents this risk of customer subsidy going forward. In other words, Georgia Power believes its proposed process will close the customer subsidy gap that the Heelstone projects illuminated</w:t>
      </w:r>
      <w:r w:rsidR="008D7487" w:rsidRPr="00C4710D">
        <w:t>.</w:t>
      </w:r>
    </w:p>
    <w:p w14:paraId="2C12392E" w14:textId="0EA4497E" w:rsidR="004F3C2D" w:rsidRPr="00C4710D" w:rsidRDefault="004F3C2D">
      <w:pPr>
        <w:spacing w:line="240" w:lineRule="auto"/>
        <w:jc w:val="left"/>
      </w:pPr>
      <w:r w:rsidRPr="00C4710D">
        <w:br w:type="page"/>
      </w:r>
    </w:p>
    <w:p w14:paraId="261577F5" w14:textId="5C83C98B" w:rsidR="00137CB4" w:rsidRPr="00C4710D" w:rsidRDefault="00D932A7" w:rsidP="005F2AA9">
      <w:pPr>
        <w:pStyle w:val="Heading2"/>
        <w:rPr>
          <w:rFonts w:cs="Times New Roman"/>
          <w:szCs w:val="24"/>
          <w:u w:val="single"/>
        </w:rPr>
      </w:pPr>
      <w:bookmarkStart w:id="64" w:name="_Toc59531768"/>
      <w:r w:rsidRPr="00C4710D">
        <w:t>SEEM</w:t>
      </w:r>
      <w:bookmarkEnd w:id="63"/>
      <w:bookmarkEnd w:id="64"/>
    </w:p>
    <w:p w14:paraId="610AA6B8" w14:textId="77777777" w:rsidR="00CB67AD" w:rsidRPr="00C4710D" w:rsidRDefault="00CB67AD" w:rsidP="00BA0E1C">
      <w:pPr>
        <w:ind w:left="720" w:hanging="720"/>
        <w:rPr>
          <w:b/>
          <w:bCs/>
          <w:caps/>
        </w:rPr>
      </w:pPr>
      <w:bookmarkStart w:id="65" w:name="_Toc58467614"/>
    </w:p>
    <w:p w14:paraId="07F33721" w14:textId="64D1D5F9" w:rsidR="00BA0E1C" w:rsidRPr="00C4710D" w:rsidRDefault="00BA0E1C" w:rsidP="00BA0E1C">
      <w:pPr>
        <w:ind w:left="720" w:hanging="720"/>
        <w:rPr>
          <w:b/>
          <w:bCs/>
          <w:caps/>
        </w:rPr>
      </w:pPr>
      <w:r w:rsidRPr="00C4710D">
        <w:rPr>
          <w:b/>
          <w:bCs/>
          <w:caps/>
        </w:rPr>
        <w:t xml:space="preserve">Q. </w:t>
      </w:r>
      <w:r w:rsidRPr="00C4710D">
        <w:rPr>
          <w:b/>
          <w:bCs/>
          <w:caps/>
        </w:rPr>
        <w:tab/>
        <w:t xml:space="preserve">WHAT IS THE COMPANY’S RESPONSE TO THE REQUEST BY </w:t>
      </w:r>
      <w:r w:rsidR="00F13078" w:rsidRPr="00C4710D">
        <w:rPr>
          <w:b/>
          <w:bCs/>
          <w:caps/>
        </w:rPr>
        <w:t>GIPL-S-VS,</w:t>
      </w:r>
      <w:r w:rsidRPr="00C4710D">
        <w:rPr>
          <w:b/>
          <w:bCs/>
          <w:caps/>
        </w:rPr>
        <w:t xml:space="preserve"> AS SUPPORTED BY STAFF</w:t>
      </w:r>
      <w:r w:rsidR="00F13078" w:rsidRPr="00C4710D">
        <w:rPr>
          <w:b/>
          <w:bCs/>
          <w:caps/>
        </w:rPr>
        <w:t>,</w:t>
      </w:r>
      <w:r w:rsidRPr="00C4710D">
        <w:rPr>
          <w:b/>
          <w:bCs/>
          <w:caps/>
        </w:rPr>
        <w:t xml:space="preserve"> TO require Georgia Power to file a report ON HOW AVOIDED COSTS MIGHT BE AFFECTED BY the Southeast Energy Exchange Market (“SEEM”)?</w:t>
      </w:r>
    </w:p>
    <w:p w14:paraId="1896B479" w14:textId="158ABA7F" w:rsidR="00BA0E1C" w:rsidRPr="00C4710D" w:rsidRDefault="00BA0E1C" w:rsidP="00BA0E1C">
      <w:pPr>
        <w:ind w:left="720" w:hanging="720"/>
      </w:pPr>
      <w:r w:rsidRPr="00C4710D">
        <w:t xml:space="preserve">A. </w:t>
      </w:r>
      <w:r w:rsidRPr="00C4710D">
        <w:tab/>
      </w:r>
      <w:r w:rsidR="000D3A39" w:rsidRPr="00C4710D">
        <w:t xml:space="preserve">The Company plans to keep the Commission informed about SEEM as that undertaking is developed. If the Commission requires a formal report, Georgia Power suggests that the report be submitted as part of the 2022 IRP so as </w:t>
      </w:r>
      <w:r w:rsidR="007B2681" w:rsidRPr="00C4710D">
        <w:t>not to</w:t>
      </w:r>
      <w:r w:rsidR="000D3A39" w:rsidRPr="00C4710D">
        <w:t xml:space="preserve"> impede IRP preparations in 2021</w:t>
      </w:r>
      <w:r w:rsidRPr="00C4710D">
        <w:t>.</w:t>
      </w:r>
    </w:p>
    <w:p w14:paraId="428C99DE" w14:textId="617B3C95" w:rsidR="002058E3" w:rsidRPr="00C4710D" w:rsidRDefault="002058E3">
      <w:pPr>
        <w:spacing w:line="240" w:lineRule="auto"/>
        <w:jc w:val="left"/>
      </w:pPr>
    </w:p>
    <w:p w14:paraId="7A2902DF" w14:textId="7A2268FE" w:rsidR="000863DF" w:rsidRPr="00C4710D" w:rsidRDefault="000863DF" w:rsidP="000863DF">
      <w:pPr>
        <w:pStyle w:val="Heading1"/>
        <w:keepNext w:val="0"/>
        <w:contextualSpacing/>
        <w:jc w:val="center"/>
        <w:rPr>
          <w:rFonts w:cs="Times New Roman"/>
          <w:b w:val="0"/>
          <w:szCs w:val="24"/>
          <w:u w:val="single"/>
        </w:rPr>
      </w:pPr>
      <w:bookmarkStart w:id="66" w:name="_Toc59531769"/>
      <w:r w:rsidRPr="00C4710D">
        <w:rPr>
          <w:rFonts w:cs="Times New Roman"/>
          <w:szCs w:val="24"/>
          <w:u w:val="single"/>
        </w:rPr>
        <w:t>CONCLUSION</w:t>
      </w:r>
      <w:bookmarkEnd w:id="52"/>
      <w:bookmarkEnd w:id="53"/>
      <w:bookmarkEnd w:id="65"/>
      <w:bookmarkEnd w:id="66"/>
    </w:p>
    <w:p w14:paraId="12602451" w14:textId="77777777" w:rsidR="000863DF" w:rsidRPr="00C4710D" w:rsidRDefault="000863DF" w:rsidP="000863DF">
      <w:pPr>
        <w:ind w:left="720" w:hanging="720"/>
        <w:contextualSpacing/>
        <w:rPr>
          <w:b/>
        </w:rPr>
      </w:pPr>
    </w:p>
    <w:p w14:paraId="6DEE095F" w14:textId="77777777" w:rsidR="000863DF" w:rsidRPr="00C4710D" w:rsidRDefault="000863DF" w:rsidP="000863DF">
      <w:pPr>
        <w:ind w:left="720" w:hanging="720"/>
        <w:contextualSpacing/>
        <w:rPr>
          <w:b/>
        </w:rPr>
      </w:pPr>
      <w:r w:rsidRPr="00C4710D">
        <w:rPr>
          <w:b/>
        </w:rPr>
        <w:t>Q.</w:t>
      </w:r>
      <w:r w:rsidRPr="00C4710D">
        <w:rPr>
          <w:b/>
        </w:rPr>
        <w:tab/>
        <w:t>DOES THIS CONCLUDE YOUR TESTIMONY?</w:t>
      </w:r>
    </w:p>
    <w:p w14:paraId="7B008F1D" w14:textId="12786A3F" w:rsidR="001A27EF" w:rsidRPr="000863DF" w:rsidRDefault="00694888" w:rsidP="008A798C">
      <w:pPr>
        <w:ind w:left="720" w:hanging="720"/>
        <w:contextualSpacing/>
      </w:pPr>
      <w:r w:rsidRPr="00C4710D">
        <w:t>A.</w:t>
      </w:r>
      <w:r w:rsidRPr="00C4710D">
        <w:tab/>
        <w:t>Yes.</w:t>
      </w:r>
      <w:r>
        <w:t xml:space="preserve"> </w:t>
      </w:r>
    </w:p>
    <w:sectPr w:rsidR="001A27EF" w:rsidRPr="000863DF" w:rsidSect="006B1392">
      <w:footerReference w:type="default" r:id="rId12"/>
      <w:pgSz w:w="12240" w:h="15840" w:code="1"/>
      <w:pgMar w:top="1440" w:right="1800" w:bottom="1440" w:left="180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0B26F" w14:textId="77777777" w:rsidR="00417F11" w:rsidRDefault="00417F11" w:rsidP="0047738B">
      <w:r>
        <w:separator/>
      </w:r>
    </w:p>
    <w:p w14:paraId="296A1AB3" w14:textId="77777777" w:rsidR="00417F11" w:rsidRDefault="00417F11"/>
  </w:endnote>
  <w:endnote w:type="continuationSeparator" w:id="0">
    <w:p w14:paraId="1B9A3C95" w14:textId="77777777" w:rsidR="00417F11" w:rsidRDefault="00417F11" w:rsidP="0047738B">
      <w:r>
        <w:continuationSeparator/>
      </w:r>
    </w:p>
    <w:p w14:paraId="0712DB67" w14:textId="77777777" w:rsidR="00417F11" w:rsidRDefault="00417F11"/>
  </w:endnote>
  <w:endnote w:type="continuationNotice" w:id="1">
    <w:p w14:paraId="7E162533" w14:textId="77777777" w:rsidR="00417F11" w:rsidRDefault="00417F11"/>
    <w:p w14:paraId="329E0ACB" w14:textId="77777777" w:rsidR="00417F11" w:rsidRDefault="00417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rmal text)">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onotype Corsiva">
    <w:panose1 w:val="03010101010201010101"/>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3FF52" w14:textId="77777777" w:rsidR="00417F11" w:rsidRDefault="00417F11" w:rsidP="00853CFD">
    <w:pPr>
      <w:jc w:val="center"/>
      <w:rPr>
        <w:sz w:val="18"/>
        <w:szCs w:val="18"/>
      </w:rPr>
    </w:pPr>
  </w:p>
  <w:p w14:paraId="7600A9F1" w14:textId="77777777" w:rsidR="00417F11" w:rsidRDefault="00417F1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300B4" w14:textId="77777777" w:rsidR="00417F11" w:rsidRDefault="00417F11" w:rsidP="00853CFD">
    <w:pPr>
      <w:jc w:val="center"/>
      <w:rPr>
        <w:sz w:val="18"/>
        <w:szCs w:val="18"/>
      </w:rPr>
    </w:pPr>
  </w:p>
  <w:p w14:paraId="46AED793" w14:textId="4C1E7DC0" w:rsidR="00417F11" w:rsidRPr="00541E9D" w:rsidRDefault="00417F11" w:rsidP="007509A9">
    <w:pPr>
      <w:spacing w:line="240" w:lineRule="auto"/>
      <w:jc w:val="center"/>
      <w:rPr>
        <w:sz w:val="18"/>
        <w:szCs w:val="18"/>
      </w:rPr>
    </w:pPr>
    <w:r>
      <w:rPr>
        <w:sz w:val="18"/>
        <w:szCs w:val="18"/>
      </w:rPr>
      <w:t>Surrebuttal</w:t>
    </w:r>
    <w:r w:rsidRPr="00541E9D">
      <w:rPr>
        <w:sz w:val="18"/>
        <w:szCs w:val="18"/>
      </w:rPr>
      <w:t xml:space="preserve"> Testimony </w:t>
    </w:r>
    <w:r>
      <w:rPr>
        <w:sz w:val="18"/>
        <w:szCs w:val="18"/>
      </w:rPr>
      <w:t>of Jeffrey R. Grubb, A. Wilson Mallard, and Jeffrey B. Weathers</w:t>
    </w:r>
  </w:p>
  <w:p w14:paraId="3C91089B" w14:textId="77777777" w:rsidR="00417F11" w:rsidRPr="00541E9D" w:rsidRDefault="00417F11" w:rsidP="007509A9">
    <w:pPr>
      <w:pStyle w:val="Footer"/>
      <w:spacing w:line="240" w:lineRule="auto"/>
      <w:jc w:val="center"/>
      <w:rPr>
        <w:sz w:val="18"/>
        <w:szCs w:val="18"/>
      </w:rPr>
    </w:pPr>
    <w:r w:rsidRPr="00541E9D">
      <w:rPr>
        <w:sz w:val="18"/>
        <w:szCs w:val="18"/>
      </w:rPr>
      <w:t>On behalf of Georgia Power Company</w:t>
    </w:r>
  </w:p>
  <w:p w14:paraId="2303F2DC" w14:textId="0F879294" w:rsidR="00417F11" w:rsidRPr="00541E9D" w:rsidRDefault="00417F11" w:rsidP="007509A9">
    <w:pPr>
      <w:pStyle w:val="Footer"/>
      <w:spacing w:line="240" w:lineRule="auto"/>
      <w:jc w:val="center"/>
      <w:rPr>
        <w:sz w:val="18"/>
        <w:szCs w:val="18"/>
      </w:rPr>
    </w:pPr>
    <w:r w:rsidRPr="00541E9D">
      <w:rPr>
        <w:sz w:val="18"/>
        <w:szCs w:val="18"/>
      </w:rPr>
      <w:t>Docket No</w:t>
    </w:r>
    <w:r>
      <w:rPr>
        <w:sz w:val="18"/>
        <w:szCs w:val="18"/>
      </w:rPr>
      <w:t>s</w:t>
    </w:r>
    <w:r w:rsidRPr="00541E9D">
      <w:rPr>
        <w:sz w:val="18"/>
        <w:szCs w:val="18"/>
      </w:rPr>
      <w:t xml:space="preserve">. </w:t>
    </w:r>
    <w:r>
      <w:rPr>
        <w:sz w:val="18"/>
        <w:szCs w:val="18"/>
      </w:rPr>
      <w:t>4822, 16573, 19279</w:t>
    </w:r>
  </w:p>
  <w:p w14:paraId="69889F83" w14:textId="1F7B0C91" w:rsidR="00417F11" w:rsidRPr="00A87A6E" w:rsidRDefault="00417F11" w:rsidP="00853CFD">
    <w:pPr>
      <w:pStyle w:val="Footer"/>
      <w:jc w:val="center"/>
      <w:rPr>
        <w:sz w:val="18"/>
        <w:szCs w:val="18"/>
      </w:rPr>
    </w:pPr>
    <w:r>
      <w:rPr>
        <w:sz w:val="18"/>
        <w:szCs w:val="18"/>
      </w:rPr>
      <w:t xml:space="preserve">Page </w:t>
    </w:r>
    <w:r w:rsidRPr="00541E9D">
      <w:rPr>
        <w:sz w:val="18"/>
        <w:szCs w:val="18"/>
      </w:rPr>
      <w:fldChar w:fldCharType="begin"/>
    </w:r>
    <w:r w:rsidRPr="00541E9D">
      <w:rPr>
        <w:sz w:val="18"/>
        <w:szCs w:val="18"/>
      </w:rPr>
      <w:instrText xml:space="preserve"> PAGE  \* MERGEFORMAT </w:instrText>
    </w:r>
    <w:r w:rsidRPr="00541E9D">
      <w:rPr>
        <w:sz w:val="18"/>
        <w:szCs w:val="18"/>
      </w:rPr>
      <w:fldChar w:fldCharType="separate"/>
    </w:r>
    <w:r>
      <w:rPr>
        <w:noProof/>
        <w:sz w:val="18"/>
        <w:szCs w:val="18"/>
      </w:rPr>
      <w:t>1</w:t>
    </w:r>
    <w:r w:rsidRPr="00541E9D">
      <w:rPr>
        <w:sz w:val="18"/>
        <w:szCs w:val="18"/>
      </w:rPr>
      <w:fldChar w:fldCharType="end"/>
    </w:r>
    <w:r>
      <w:rPr>
        <w:sz w:val="18"/>
        <w:szCs w:val="18"/>
      </w:rPr>
      <w:t xml:space="preserve"> of 63</w:t>
    </w:r>
  </w:p>
  <w:p w14:paraId="1F0D43A5" w14:textId="77777777" w:rsidR="00417F11" w:rsidRDefault="00417F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509BD" w14:textId="77777777" w:rsidR="00417F11" w:rsidRDefault="00417F11" w:rsidP="00C5300D">
      <w:pPr>
        <w:spacing w:line="240" w:lineRule="auto"/>
      </w:pPr>
      <w:r>
        <w:separator/>
      </w:r>
    </w:p>
  </w:footnote>
  <w:footnote w:type="continuationSeparator" w:id="0">
    <w:p w14:paraId="0D7B673E" w14:textId="77777777" w:rsidR="00417F11" w:rsidRDefault="00417F11" w:rsidP="0047738B">
      <w:r>
        <w:continuationSeparator/>
      </w:r>
    </w:p>
    <w:p w14:paraId="52347177" w14:textId="77777777" w:rsidR="00417F11" w:rsidRDefault="00417F11"/>
  </w:footnote>
  <w:footnote w:type="continuationNotice" w:id="1">
    <w:p w14:paraId="1694BB86" w14:textId="77777777" w:rsidR="00417F11" w:rsidRDefault="00417F11"/>
    <w:p w14:paraId="62EAAF83" w14:textId="77777777" w:rsidR="00417F11" w:rsidRDefault="00417F11"/>
  </w:footnote>
  <w:footnote w:id="2">
    <w:p w14:paraId="58AE43D8" w14:textId="77777777" w:rsidR="00417F11" w:rsidRDefault="00417F11" w:rsidP="00965C96">
      <w:pPr>
        <w:pStyle w:val="FootnoteText"/>
      </w:pPr>
      <w:r w:rsidRPr="00652120">
        <w:rPr>
          <w:rStyle w:val="FootnoteReference"/>
        </w:rPr>
        <w:footnoteRef/>
      </w:r>
      <w:r w:rsidRPr="00652120">
        <w:t xml:space="preserve"> Georgia Pub. Serv. Comm’n, Rule 515-3-4.04</w:t>
      </w:r>
      <w:r>
        <w:t xml:space="preserve">. </w:t>
      </w:r>
    </w:p>
  </w:footnote>
  <w:footnote w:id="3">
    <w:p w14:paraId="5FDDFD59" w14:textId="07412FAD" w:rsidR="00417F11" w:rsidRDefault="00417F11" w:rsidP="00EF305D">
      <w:pPr>
        <w:pStyle w:val="FootnoteText"/>
      </w:pPr>
      <w:r>
        <w:rPr>
          <w:rStyle w:val="FootnoteReference"/>
        </w:rPr>
        <w:footnoteRef/>
      </w:r>
      <w:r>
        <w:t xml:space="preserve"> </w:t>
      </w:r>
      <w:r w:rsidRPr="0017355B">
        <w:rPr>
          <w:i/>
          <w:iCs/>
        </w:rPr>
        <w:t>Id</w:t>
      </w:r>
      <w:r>
        <w:t xml:space="preserve">. at </w:t>
      </w:r>
      <w:r w:rsidRPr="00254E4B">
        <w:t>515-3-4.04(3)(b).</w:t>
      </w:r>
    </w:p>
  </w:footnote>
  <w:footnote w:id="4">
    <w:p w14:paraId="34B274E4" w14:textId="373448A5" w:rsidR="00417F11" w:rsidRDefault="00417F11" w:rsidP="009E6334">
      <w:pPr>
        <w:pStyle w:val="FootnoteText"/>
      </w:pPr>
      <w:r>
        <w:rPr>
          <w:rStyle w:val="FootnoteReference"/>
        </w:rPr>
        <w:footnoteRef/>
      </w:r>
      <w:r>
        <w:t xml:space="preserve"> </w:t>
      </w:r>
      <w:r w:rsidRPr="00E01139">
        <w:rPr>
          <w:i/>
          <w:iCs/>
        </w:rPr>
        <w:t>In Re: Capacity and Energy Payments to Cogenerators under PURPA</w:t>
      </w:r>
      <w:r>
        <w:t>, Georgia Pub. Serv. Comm’n, Rebuttal Testimony of Jeffrey R. Grubb, A. Wilson Mallard, and Jeffrey B. Weathers, Docket No. 4822 et al., (December 4, 2020) (hereinafter, “Georgia Power Rebuttal Testimony”) at 39-40.</w:t>
      </w:r>
    </w:p>
  </w:footnote>
  <w:footnote w:id="5">
    <w:p w14:paraId="3CA370C1" w14:textId="125057FD" w:rsidR="00417F11" w:rsidRDefault="00417F11" w:rsidP="00F21763">
      <w:pPr>
        <w:pStyle w:val="FootnoteText"/>
      </w:pPr>
      <w:r>
        <w:rPr>
          <w:rStyle w:val="FootnoteReference"/>
        </w:rPr>
        <w:footnoteRef/>
      </w:r>
      <w:r>
        <w:t xml:space="preserve"> </w:t>
      </w:r>
      <w:r w:rsidRPr="00C43B92">
        <w:rPr>
          <w:i/>
          <w:iCs/>
        </w:rPr>
        <w:t>See</w:t>
      </w:r>
      <w:r>
        <w:rPr>
          <w:i/>
          <w:iCs/>
        </w:rPr>
        <w:t>, e.g.,</w:t>
      </w:r>
      <w:r>
        <w:t xml:space="preserve"> </w:t>
      </w:r>
      <w:r w:rsidRPr="00E01139">
        <w:rPr>
          <w:i/>
          <w:iCs/>
        </w:rPr>
        <w:t>In Re: Capacity and Energy Payments to Cogenerators under PURPA</w:t>
      </w:r>
      <w:r>
        <w:t>, Georgia Pub. Serv. Comm’n, Direct Hearing, Docket No. 4822 et al., (June 10, 1994) at 717 (Intervenor Witness Kenneth J. Slater describing how the Southern Company operating companies “</w:t>
      </w:r>
      <w:r w:rsidRPr="000C1620">
        <w:t>pay each other for firm energy through the Intercompany Interchange Contract (</w:t>
      </w:r>
      <w:r>
        <w:t>‘</w:t>
      </w:r>
      <w:r w:rsidRPr="000C1620">
        <w:t>IIC</w:t>
      </w:r>
      <w:r>
        <w:t>’</w:t>
      </w:r>
      <w:r w:rsidRPr="000C1620">
        <w:t>), each requires that it be paid on the basis of blended fuels - i.e., the actual blend of contract and spot fuel that its portion of the electric system uses to produce the firm energy that it provides to its sister operating companies</w:t>
      </w:r>
      <w:r>
        <w:t>”).</w:t>
      </w:r>
    </w:p>
  </w:footnote>
  <w:footnote w:id="6">
    <w:p w14:paraId="303BF79D" w14:textId="5424B505" w:rsidR="00417F11" w:rsidRDefault="00417F11" w:rsidP="00BA36C8">
      <w:pPr>
        <w:pStyle w:val="FootnoteText"/>
      </w:pPr>
      <w:r>
        <w:rPr>
          <w:rStyle w:val="FootnoteReference"/>
        </w:rPr>
        <w:footnoteRef/>
      </w:r>
      <w:r>
        <w:t xml:space="preserve"> </w:t>
      </w:r>
      <w:r w:rsidRPr="00E01139">
        <w:rPr>
          <w:i/>
          <w:iCs/>
        </w:rPr>
        <w:t>In Re: Capacity and Energy Payments to Cogenerators under PURPA</w:t>
      </w:r>
      <w:r>
        <w:t xml:space="preserve">, Georgia Pub. Serv. Comm’n, Rebuttal Testimony of John L. Kaduk, Timothy S. Cook, and Jeffrey D. Bower, Docket No. 4822 et al., at 49 (December 4, 2020) (hereinafter, “Staff Direct Testimony”). </w:t>
      </w:r>
    </w:p>
  </w:footnote>
  <w:footnote w:id="7">
    <w:p w14:paraId="54757BE5" w14:textId="77777777" w:rsidR="00417F11" w:rsidRDefault="00417F11" w:rsidP="00857D65">
      <w:pPr>
        <w:pStyle w:val="FootnoteText"/>
      </w:pPr>
      <w:r>
        <w:rPr>
          <w:rStyle w:val="FootnoteReference"/>
        </w:rPr>
        <w:footnoteRef/>
      </w:r>
      <w:r>
        <w:t xml:space="preserve"> 1994 Final order at 18.</w:t>
      </w:r>
    </w:p>
  </w:footnote>
  <w:footnote w:id="8">
    <w:p w14:paraId="3A1ED828" w14:textId="77777777" w:rsidR="00417F11" w:rsidRDefault="00417F11" w:rsidP="00857D65">
      <w:pPr>
        <w:pStyle w:val="FootnoteText"/>
      </w:pPr>
      <w:r>
        <w:rPr>
          <w:rStyle w:val="FootnoteReference"/>
        </w:rPr>
        <w:footnoteRef/>
      </w:r>
      <w:r>
        <w:t xml:space="preserve"> </w:t>
      </w:r>
      <w:r w:rsidRPr="00382416">
        <w:rPr>
          <w:i/>
          <w:iCs/>
        </w:rPr>
        <w:t>Id</w:t>
      </w:r>
      <w:r>
        <w:t>.</w:t>
      </w:r>
    </w:p>
  </w:footnote>
  <w:footnote w:id="9">
    <w:p w14:paraId="13C5F53B" w14:textId="78492373" w:rsidR="00417F11" w:rsidRDefault="00417F11" w:rsidP="00E05711">
      <w:pPr>
        <w:pStyle w:val="FootnoteText"/>
      </w:pPr>
      <w:r>
        <w:rPr>
          <w:rStyle w:val="FootnoteReference"/>
        </w:rPr>
        <w:footnoteRef/>
      </w:r>
      <w:r>
        <w:t xml:space="preserve"> </w:t>
      </w:r>
      <w:r w:rsidRPr="00E01139">
        <w:rPr>
          <w:i/>
          <w:iCs/>
        </w:rPr>
        <w:t>In Re: Capacity and Energy Payments to Cogenerators under PURPA</w:t>
      </w:r>
      <w:r>
        <w:t>, Georgia Pub. Serv. Comm’n, Rebuttal Testimony of John Wilson, Docket No. 4822 et al., at 15-16 (December 4, 2020) (hereinafter, “Wilson Rebuttal Testimony”).</w:t>
      </w:r>
    </w:p>
  </w:footnote>
  <w:footnote w:id="10">
    <w:p w14:paraId="2C5D931B" w14:textId="763A1D5F" w:rsidR="00417F11" w:rsidRDefault="00417F11" w:rsidP="00E05711">
      <w:pPr>
        <w:pStyle w:val="FootnoteText"/>
      </w:pPr>
      <w:r>
        <w:rPr>
          <w:rStyle w:val="FootnoteReference"/>
        </w:rPr>
        <w:footnoteRef/>
      </w:r>
      <w:r>
        <w:t xml:space="preserve"> </w:t>
      </w:r>
      <w:r w:rsidRPr="009B33AF">
        <w:rPr>
          <w:i/>
          <w:iCs/>
        </w:rPr>
        <w:t>Id</w:t>
      </w:r>
      <w:r>
        <w:t>. at 19; Staff Direct Testimony at 47-48.</w:t>
      </w:r>
    </w:p>
  </w:footnote>
  <w:footnote w:id="11">
    <w:p w14:paraId="1CE12EE7" w14:textId="575C0D20" w:rsidR="00417F11" w:rsidRDefault="00417F11" w:rsidP="00E05711">
      <w:pPr>
        <w:pStyle w:val="FootnoteText"/>
      </w:pPr>
      <w:r>
        <w:rPr>
          <w:rStyle w:val="FootnoteReference"/>
        </w:rPr>
        <w:footnoteRef/>
      </w:r>
      <w:r>
        <w:t xml:space="preserve"> </w:t>
      </w:r>
      <w:r w:rsidRPr="00E01139">
        <w:rPr>
          <w:i/>
          <w:iCs/>
        </w:rPr>
        <w:t>In Re: Capacity and Energy Payments to Cogenerators under PURPA</w:t>
      </w:r>
      <w:r>
        <w:t>, Georgia Pub. Serv. Comm’n, Rebuttal Testimony of Douglas Jester and Matt Cox, Docket No. 4822 et al., at 31 (December 4, 2020) (hereinafter, “Cox &amp; Jester Rebuttal Testimony”).</w:t>
      </w:r>
    </w:p>
  </w:footnote>
  <w:footnote w:id="12">
    <w:p w14:paraId="05D12153" w14:textId="77777777" w:rsidR="00417F11" w:rsidRDefault="00417F11" w:rsidP="00E05711">
      <w:pPr>
        <w:pStyle w:val="FootnoteText"/>
      </w:pPr>
      <w:r>
        <w:rPr>
          <w:rStyle w:val="FootnoteReference"/>
        </w:rPr>
        <w:footnoteRef/>
      </w:r>
      <w:r>
        <w:t xml:space="preserve"> Staff Direct Testimony at 47.</w:t>
      </w:r>
    </w:p>
  </w:footnote>
  <w:footnote w:id="13">
    <w:p w14:paraId="42F8129E" w14:textId="7BAA9714" w:rsidR="00417F11" w:rsidRDefault="00417F11" w:rsidP="00E05711">
      <w:pPr>
        <w:pStyle w:val="FootnoteText"/>
      </w:pPr>
      <w:r>
        <w:rPr>
          <w:rStyle w:val="FootnoteReference"/>
        </w:rPr>
        <w:footnoteRef/>
      </w:r>
      <w:r>
        <w:t xml:space="preserve"> </w:t>
      </w:r>
      <w:r w:rsidRPr="00E01139">
        <w:rPr>
          <w:i/>
          <w:iCs/>
        </w:rPr>
        <w:t>In Re: Capacity and Energy Payments to Cogenerators under PURPA</w:t>
      </w:r>
      <w:r>
        <w:t xml:space="preserve">, Georgia Pub. Serv. Comm’n, Direct Testimony of Jeffrey R. Grubb, A. Wilson Mallard, and Jeffrey B. Weathers, Docket No. 4822 et al., at 11-18 (September 18, 2020) (hereinafter, “Georgia Power Direct Testimony”) (explaining relevant reforms in Order No. 872, including the competitive solicitation reform); Georgia Power Rebuttal Testimony at 46-56 (explaining the relationship between capacity payments and capacity need relative to the requirements of FERC’s and the Georgia Public Service Commission). </w:t>
      </w:r>
    </w:p>
  </w:footnote>
  <w:footnote w:id="14">
    <w:p w14:paraId="41EF0A58" w14:textId="307F6C35" w:rsidR="00417F11" w:rsidRDefault="00417F11" w:rsidP="009046C4">
      <w:pPr>
        <w:pStyle w:val="FootnoteText"/>
      </w:pPr>
      <w:r>
        <w:rPr>
          <w:rStyle w:val="FootnoteReference"/>
        </w:rPr>
        <w:footnoteRef/>
      </w:r>
      <w:r>
        <w:t xml:space="preserve"> </w:t>
      </w:r>
      <w:r w:rsidRPr="00901C71">
        <w:rPr>
          <w:i/>
          <w:iCs/>
        </w:rPr>
        <w:t>Implementation Issues Under the Public Utility Regulatory Policies Act of 1978</w:t>
      </w:r>
      <w:r>
        <w:t xml:space="preserve">, Order No. 872, </w:t>
      </w:r>
      <w:r w:rsidRPr="00BC0A5A">
        <w:t>172 FERC ¶ 61,041</w:t>
      </w:r>
      <w:r>
        <w:t xml:space="preserve">, PP 422, 424 (2020) (“Order No. 872”), </w:t>
      </w:r>
      <w:r w:rsidRPr="00C34B14">
        <w:rPr>
          <w:i/>
          <w:iCs/>
        </w:rPr>
        <w:t>order on reh’g</w:t>
      </w:r>
      <w:r>
        <w:t xml:space="preserve">, </w:t>
      </w:r>
      <w:r w:rsidRPr="008007E1">
        <w:t>173 FERC ¶ 61,158</w:t>
      </w:r>
      <w:r>
        <w:t xml:space="preserve">, P 216 (“Order No. 872-A”). </w:t>
      </w:r>
    </w:p>
  </w:footnote>
  <w:footnote w:id="15">
    <w:p w14:paraId="36F71759" w14:textId="7D00D817" w:rsidR="00417F11" w:rsidRDefault="00417F11" w:rsidP="00BC3B91">
      <w:pPr>
        <w:pStyle w:val="FootnoteText"/>
      </w:pPr>
      <w:r>
        <w:rPr>
          <w:rStyle w:val="FootnoteReference"/>
        </w:rPr>
        <w:footnoteRef/>
      </w:r>
      <w:r>
        <w:t xml:space="preserve"> Order No. 872-A, P 215 (noting that in Order No. 872, FERC found that “</w:t>
      </w:r>
      <w:r w:rsidRPr="008D2180">
        <w:t>a properly run solicitation must be held at regular intervals, in which a utility’s capacity needs are open for bidding to all capacity providers, including QF and non-QF resources, which is a level playing field for QFs to provide capacity.</w:t>
      </w:r>
      <w:r>
        <w:t xml:space="preserve">”); </w:t>
      </w:r>
      <w:r w:rsidRPr="00550012">
        <w:rPr>
          <w:i/>
          <w:iCs/>
        </w:rPr>
        <w:t>id</w:t>
      </w:r>
      <w:r>
        <w:t>. at P 214 (noting that competitive solicitations “</w:t>
      </w:r>
      <w:r w:rsidRPr="001F5671">
        <w:t>provide</w:t>
      </w:r>
      <w:r>
        <w:t>[]</w:t>
      </w:r>
      <w:r w:rsidRPr="001F5671">
        <w:t xml:space="preserve"> price discovery that may better determine a purchasing utility’s avoided cost rates.</w:t>
      </w:r>
      <w:r>
        <w:t xml:space="preserve">”). </w:t>
      </w:r>
    </w:p>
  </w:footnote>
  <w:footnote w:id="16">
    <w:p w14:paraId="067810D5" w14:textId="5EDF2D10" w:rsidR="00417F11" w:rsidRDefault="00417F11" w:rsidP="00E05711">
      <w:pPr>
        <w:pStyle w:val="FootnoteText"/>
      </w:pPr>
      <w:r>
        <w:rPr>
          <w:rStyle w:val="FootnoteReference"/>
        </w:rPr>
        <w:footnoteRef/>
      </w:r>
      <w:r>
        <w:t xml:space="preserve"> 1994 Final Order at 23, Ordering Paragraph C; Davie Testimony at 14 (proposing that, to qualify for long-term avoided capacity cost payments, a QF must be “</w:t>
      </w:r>
      <w:r w:rsidRPr="00351F70">
        <w:t>willing to sell power to a utility at a cost not greater than the utility's avoided cost and be required to make a firm and consequential commitment to the utility: (1) at a time when the utility was planning to make a commitment to procure additional generating capacity; and (2) to perform reliably under a long-term power sales contract</w:t>
      </w:r>
      <w:r>
        <w:t>…</w:t>
      </w:r>
      <w:r w:rsidRPr="00351F70">
        <w:t xml:space="preserve"> the total amount of QFs allowed to enter into long-term capacity contracts would be limited by the utility's identified long-term need at that time</w:t>
      </w:r>
      <w:r>
        <w:t xml:space="preserve">”). </w:t>
      </w:r>
    </w:p>
  </w:footnote>
  <w:footnote w:id="17">
    <w:p w14:paraId="472A6723" w14:textId="35FBCC97" w:rsidR="00417F11" w:rsidRDefault="00417F11" w:rsidP="00E05711">
      <w:pPr>
        <w:pStyle w:val="FootnoteText"/>
      </w:pPr>
      <w:r w:rsidRPr="00652120">
        <w:rPr>
          <w:rStyle w:val="FootnoteReference"/>
        </w:rPr>
        <w:footnoteRef/>
      </w:r>
      <w:r w:rsidRPr="00652120">
        <w:t xml:space="preserve"> Georgia Pub. Serv. Comm’n, Rule 515-3-4.04</w:t>
      </w:r>
      <w:r>
        <w:t xml:space="preserve">. </w:t>
      </w:r>
    </w:p>
  </w:footnote>
  <w:footnote w:id="18">
    <w:p w14:paraId="125C9A53" w14:textId="1147F5D2" w:rsidR="00417F11" w:rsidRDefault="00417F11">
      <w:pPr>
        <w:pStyle w:val="FootnoteText"/>
      </w:pPr>
      <w:r>
        <w:rPr>
          <w:rStyle w:val="FootnoteReference"/>
        </w:rPr>
        <w:footnoteRef/>
      </w:r>
      <w:r>
        <w:t xml:space="preserve"> Wilson Rebuttal Testimony at 19.</w:t>
      </w:r>
    </w:p>
  </w:footnote>
  <w:footnote w:id="19">
    <w:p w14:paraId="40C3868D" w14:textId="77777777" w:rsidR="00417F11" w:rsidRDefault="00417F11" w:rsidP="00E05711">
      <w:pPr>
        <w:pStyle w:val="FootnoteText"/>
      </w:pPr>
      <w:r>
        <w:rPr>
          <w:rStyle w:val="FootnoteReference"/>
        </w:rPr>
        <w:footnoteRef/>
      </w:r>
      <w:r>
        <w:t xml:space="preserve"> Staff Direct Testimony at 45.</w:t>
      </w:r>
    </w:p>
  </w:footnote>
  <w:footnote w:id="20">
    <w:p w14:paraId="280DAB16" w14:textId="504339C0" w:rsidR="00417F11" w:rsidRDefault="00417F11" w:rsidP="00E05711">
      <w:pPr>
        <w:pStyle w:val="FootnoteText"/>
      </w:pPr>
      <w:r>
        <w:rPr>
          <w:rStyle w:val="FootnoteReference"/>
        </w:rPr>
        <w:footnoteRef/>
      </w:r>
      <w:r>
        <w:t xml:space="preserve"> Wilson Rebuttal Testimony at 19.</w:t>
      </w:r>
    </w:p>
  </w:footnote>
  <w:footnote w:id="21">
    <w:p w14:paraId="6B2D5AF4" w14:textId="77777777" w:rsidR="00417F11" w:rsidRDefault="00417F11" w:rsidP="00E91788">
      <w:pPr>
        <w:pStyle w:val="FootnoteText"/>
      </w:pPr>
      <w:r>
        <w:rPr>
          <w:rStyle w:val="FootnoteReference"/>
        </w:rPr>
        <w:footnoteRef/>
      </w:r>
      <w:r>
        <w:t xml:space="preserve"> Order No. 872 at P 123.</w:t>
      </w:r>
    </w:p>
  </w:footnote>
  <w:footnote w:id="22">
    <w:p w14:paraId="46074085" w14:textId="0AA7F19C" w:rsidR="00417F11" w:rsidRDefault="00417F11" w:rsidP="00E91788">
      <w:pPr>
        <w:pStyle w:val="FootnoteText"/>
      </w:pPr>
      <w:r>
        <w:rPr>
          <w:rStyle w:val="FootnoteReference"/>
        </w:rPr>
        <w:footnoteRef/>
      </w:r>
      <w:r>
        <w:t xml:space="preserve"> Georgia Power Rebuttal Testimony at 50-53.</w:t>
      </w:r>
    </w:p>
  </w:footnote>
  <w:footnote w:id="23">
    <w:p w14:paraId="4528E5F7" w14:textId="41536737" w:rsidR="00417F11" w:rsidRDefault="00417F11" w:rsidP="00C94AE5">
      <w:pPr>
        <w:pStyle w:val="FootnoteText"/>
      </w:pPr>
      <w:r>
        <w:rPr>
          <w:rStyle w:val="FootnoteReference"/>
        </w:rPr>
        <w:footnoteRef/>
      </w:r>
      <w:r>
        <w:t xml:space="preserve"> </w:t>
      </w:r>
      <w:r w:rsidRPr="00E01139">
        <w:rPr>
          <w:i/>
          <w:iCs/>
        </w:rPr>
        <w:t>In Re: Capacity and Energy Payments to Cogenerators under PURPA</w:t>
      </w:r>
      <w:r>
        <w:t>, Georgia Pub. Serv. Comm’n, Direct Hearing, Docket No. 4822 et al., at 224, ln24 – 225, ln 6 (Nov. 9, 2020) (hereinafter, “Direct Hearing Nov. 9, 2020”) (</w:t>
      </w:r>
      <w:r>
        <w:rPr>
          <w:bCs/>
        </w:rPr>
        <w:t>“So I didn’t get all of those details, but I would say that the Commission can do that if they want to</w:t>
      </w:r>
      <w:r w:rsidRPr="00197BCB">
        <w:rPr>
          <w:bCs/>
        </w:rPr>
        <w:t>; however, there is still nothing avoided. If we</w:t>
      </w:r>
      <w:r w:rsidRPr="008B034D">
        <w:rPr>
          <w:bCs/>
        </w:rPr>
        <w:t xml:space="preserve"> are doing the -- looking at the resources we have available and the approved target reserve margin, regardless of what that capacity cost is prior to the year of need, we aren't avoiding anything that the company already has committed to the system</w:t>
      </w:r>
      <w:r>
        <w:rPr>
          <w:bCs/>
        </w:rPr>
        <w:t>.”).</w:t>
      </w:r>
    </w:p>
  </w:footnote>
  <w:footnote w:id="24">
    <w:p w14:paraId="13FA7212" w14:textId="77777777" w:rsidR="00417F11" w:rsidRDefault="00417F11" w:rsidP="00CA696F">
      <w:pPr>
        <w:pStyle w:val="FootnoteText"/>
      </w:pPr>
      <w:r>
        <w:rPr>
          <w:rStyle w:val="FootnoteReference"/>
        </w:rPr>
        <w:footnoteRef/>
      </w:r>
      <w:r>
        <w:t xml:space="preserve"> Order No. 872-A, P 216 (emphasis added). </w:t>
      </w:r>
    </w:p>
  </w:footnote>
  <w:footnote w:id="25">
    <w:p w14:paraId="07DBDFF1" w14:textId="52B155A1" w:rsidR="00417F11" w:rsidRDefault="00417F11" w:rsidP="00735F95">
      <w:pPr>
        <w:pStyle w:val="FootnoteText"/>
      </w:pPr>
      <w:r>
        <w:rPr>
          <w:rStyle w:val="FootnoteReference"/>
        </w:rPr>
        <w:footnoteRef/>
      </w:r>
      <w:r>
        <w:t xml:space="preserve"> </w:t>
      </w:r>
      <w:r w:rsidRPr="00C83EA6">
        <w:t>North American Electric Reliability Corporation</w:t>
      </w:r>
      <w:r>
        <w:t xml:space="preserve">, </w:t>
      </w:r>
      <w:r w:rsidRPr="0079323C">
        <w:rPr>
          <w:i/>
          <w:iCs/>
        </w:rPr>
        <w:t>Methods to Model and Calculate Capacity Contributions of Variable Generation for Resource Adequacy Planning</w:t>
      </w:r>
      <w:r>
        <w:t xml:space="preserve">, 9 (March 2011), </w:t>
      </w:r>
      <w:r w:rsidRPr="006D7671">
        <w:rPr>
          <w:i/>
          <w:iCs/>
        </w:rPr>
        <w:t>available at</w:t>
      </w:r>
      <w:r>
        <w:t xml:space="preserve"> </w:t>
      </w:r>
      <w:hyperlink r:id="rId1" w:history="1">
        <w:r w:rsidRPr="007447E6">
          <w:rPr>
            <w:rStyle w:val="Hyperlink"/>
          </w:rPr>
          <w:t>https://www.nerc.com/files/ivgtf1-2.pdf</w:t>
        </w:r>
      </w:hyperlink>
      <w:r>
        <w:t xml:space="preserve">. </w:t>
      </w:r>
    </w:p>
  </w:footnote>
  <w:footnote w:id="26">
    <w:p w14:paraId="192AD42E" w14:textId="52CA96B7" w:rsidR="00417F11" w:rsidRDefault="00417F11" w:rsidP="00735F95">
      <w:pPr>
        <w:pStyle w:val="FootnoteText"/>
      </w:pPr>
      <w:r>
        <w:rPr>
          <w:rStyle w:val="FootnoteReference"/>
        </w:rPr>
        <w:footnoteRef/>
      </w:r>
      <w:r>
        <w:t xml:space="preserve"> </w:t>
      </w:r>
      <w:r w:rsidRPr="00C83EA6">
        <w:t>North American Electric Reliability Corporation</w:t>
      </w:r>
      <w:r>
        <w:t xml:space="preserve">, Probabilistic Adequacy and Measures, at vii (July 2018) </w:t>
      </w:r>
      <w:r w:rsidRPr="00B85D92">
        <w:rPr>
          <w:i/>
          <w:iCs/>
        </w:rPr>
        <w:t>available at</w:t>
      </w:r>
      <w:r>
        <w:t xml:space="preserve"> </w:t>
      </w:r>
      <w:hyperlink r:id="rId2" w:anchor="search=probabilistic%20adequacy%20and%20measures" w:history="1">
        <w:r>
          <w:rPr>
            <w:rStyle w:val="Hyperlink"/>
          </w:rPr>
          <w:t>Probabilistic Adequacy and Measures Report draft 05142018 (nerc.com)</w:t>
        </w:r>
      </w:hyperlink>
      <w:r>
        <w:t>.</w:t>
      </w:r>
    </w:p>
  </w:footnote>
  <w:footnote w:id="27">
    <w:p w14:paraId="281960B5" w14:textId="61E02DA1" w:rsidR="00417F11" w:rsidRDefault="00417F11" w:rsidP="00103E7F">
      <w:pPr>
        <w:pStyle w:val="FootnoteText"/>
      </w:pPr>
      <w:r>
        <w:rPr>
          <w:rStyle w:val="FootnoteReference"/>
        </w:rPr>
        <w:footnoteRef/>
      </w:r>
      <w:r>
        <w:t xml:space="preserve"> </w:t>
      </w:r>
      <w:r w:rsidRPr="004944C8">
        <w:rPr>
          <w:i/>
          <w:iCs/>
        </w:rPr>
        <w:t>See</w:t>
      </w:r>
      <w:r>
        <w:t xml:space="preserve"> e.g., Final Report of the Independent Evaluator RE: Georgia Power Company’s Advances Solar Initiative and Advanced Solar Initiative Prime Request for Proposals Process, Section IV(A) (Nov. 13, 2014); Authorization for Affiliate Sales, Docket No. ER08-243-000 (Jan, 18, 2008); 153 FERC </w:t>
      </w:r>
      <w:r w:rsidRPr="008F673E">
        <w:t>¶</w:t>
      </w:r>
      <w:r>
        <w:t xml:space="preserve"> 61,068 Order Granting Authorization to Make Affiliate Sales (Oct. 16, 2015) (p. 15-26); </w:t>
      </w:r>
      <w:r w:rsidRPr="008F673E">
        <w:rPr>
          <w:i/>
          <w:iCs/>
        </w:rPr>
        <w:t>See</w:t>
      </w:r>
      <w:r>
        <w:rPr>
          <w:i/>
          <w:iCs/>
        </w:rPr>
        <w:t xml:space="preserve"> also</w:t>
      </w:r>
      <w:r w:rsidRPr="008F673E">
        <w:rPr>
          <w:i/>
          <w:iCs/>
        </w:rPr>
        <w:t>, Allegheny Energy Supply Co., LLC</w:t>
      </w:r>
      <w:r w:rsidRPr="008F673E">
        <w:t>, 108 FERC ¶ 61,082 (2004) (</w:t>
      </w:r>
      <w:r w:rsidRPr="009D501C">
        <w:rPr>
          <w:i/>
          <w:iCs/>
        </w:rPr>
        <w:t>Allegheny</w:t>
      </w:r>
      <w:r w:rsidRPr="008F673E">
        <w:t>).</w:t>
      </w:r>
      <w:r w:rsidRPr="00BA29FF">
        <w:t xml:space="preserve"> </w:t>
      </w:r>
    </w:p>
  </w:footnote>
  <w:footnote w:id="28">
    <w:p w14:paraId="3E5067C0" w14:textId="21F25D87" w:rsidR="00417F11" w:rsidRDefault="00417F11" w:rsidP="000E2251">
      <w:pPr>
        <w:pStyle w:val="FootnoteText"/>
      </w:pPr>
      <w:r>
        <w:rPr>
          <w:rStyle w:val="FootnoteReference"/>
        </w:rPr>
        <w:footnoteRef/>
      </w:r>
      <w:r>
        <w:t xml:space="preserve"> </w:t>
      </w:r>
      <w:r w:rsidRPr="00426105">
        <w:rPr>
          <w:i/>
          <w:iCs/>
        </w:rPr>
        <w:t>See e.g</w:t>
      </w:r>
      <w:r>
        <w:t>., Section 11 of the pro forma Firm Capacity and Energy PPA filed in Docket 4822.</w:t>
      </w:r>
      <w:r w:rsidRPr="00426105">
        <w:t xml:space="preserve"> </w:t>
      </w:r>
      <w:r w:rsidRPr="00793CB7">
        <w:t>“The Monthly Administration Charge shall initially be one hundred dollars ($100). Georgia Power may revise the amount of the Monthly Administration Charge on an annual basis and will submit any revisions to the GPSC for review.”</w:t>
      </w:r>
    </w:p>
  </w:footnote>
  <w:footnote w:id="29">
    <w:p w14:paraId="2DA91947" w14:textId="77777777" w:rsidR="00417F11" w:rsidRDefault="00417F11" w:rsidP="000E2251">
      <w:pPr>
        <w:pStyle w:val="FootnoteText"/>
      </w:pPr>
      <w:r>
        <w:rPr>
          <w:rStyle w:val="FootnoteReference"/>
        </w:rPr>
        <w:footnoteRef/>
      </w:r>
      <w:r>
        <w:t xml:space="preserve"> Staff Direct Testimony at 55 (emphasis added).</w:t>
      </w:r>
    </w:p>
  </w:footnote>
  <w:footnote w:id="30">
    <w:p w14:paraId="4B3B7B2E" w14:textId="77777777" w:rsidR="00417F11" w:rsidRDefault="00417F11" w:rsidP="000E2251">
      <w:pPr>
        <w:pStyle w:val="FootnoteText"/>
      </w:pPr>
      <w:r>
        <w:rPr>
          <w:rStyle w:val="FootnoteReference"/>
        </w:rPr>
        <w:footnoteRef/>
      </w:r>
      <w:r>
        <w:t xml:space="preserve"> 1994 Final Order at 8-9 (</w:t>
      </w:r>
      <w:r w:rsidRPr="00FD0056">
        <w:rPr>
          <w:color w:val="000000"/>
          <w:spacing w:val="-2"/>
        </w:rPr>
        <w:t>“[a]ny changes to the transmission system resulting from the interconnection of a given QF shall be reflected in payments, whether an increase or decrease is warranted.”</w:t>
      </w:r>
      <w:r>
        <w:rPr>
          <w:color w:val="000000"/>
          <w:spacing w:val="-2"/>
        </w:rPr>
        <w:t>).</w:t>
      </w:r>
    </w:p>
  </w:footnote>
  <w:footnote w:id="31">
    <w:p w14:paraId="454C9B79" w14:textId="77777777" w:rsidR="00417F11" w:rsidRPr="00BF73B5" w:rsidRDefault="00417F11" w:rsidP="000C215D">
      <w:pPr>
        <w:spacing w:line="240" w:lineRule="auto"/>
        <w:rPr>
          <w:sz w:val="20"/>
          <w:szCs w:val="20"/>
        </w:rPr>
      </w:pPr>
      <w:r>
        <w:rPr>
          <w:rStyle w:val="FootnoteReference"/>
        </w:rPr>
        <w:footnoteRef/>
      </w:r>
      <w:r>
        <w:t xml:space="preserve"> </w:t>
      </w:r>
      <w:r w:rsidRPr="00BF73B5">
        <w:rPr>
          <w:sz w:val="20"/>
          <w:szCs w:val="20"/>
        </w:rPr>
        <w:t>Contrary to Heelstone’s assertion</w:t>
      </w:r>
      <w:r>
        <w:rPr>
          <w:sz w:val="20"/>
          <w:szCs w:val="20"/>
        </w:rPr>
        <w:t>,</w:t>
      </w:r>
      <w:r w:rsidRPr="00BF73B5">
        <w:rPr>
          <w:sz w:val="20"/>
          <w:szCs w:val="20"/>
        </w:rPr>
        <w:t xml:space="preserve"> </w:t>
      </w:r>
      <w:r>
        <w:rPr>
          <w:sz w:val="20"/>
          <w:szCs w:val="20"/>
        </w:rPr>
        <w:t>t</w:t>
      </w:r>
      <w:r w:rsidRPr="00BF73B5">
        <w:rPr>
          <w:sz w:val="20"/>
          <w:szCs w:val="20"/>
        </w:rPr>
        <w:t xml:space="preserve">here is no requirement in the </w:t>
      </w:r>
      <w:r>
        <w:rPr>
          <w:sz w:val="20"/>
          <w:szCs w:val="20"/>
        </w:rPr>
        <w:t xml:space="preserve">current Energy-Only PPA </w:t>
      </w:r>
      <w:r w:rsidRPr="00BF73B5">
        <w:rPr>
          <w:sz w:val="20"/>
          <w:szCs w:val="20"/>
        </w:rPr>
        <w:t>that a QF “shall” execute an LGIA – it simply says the interconnection “shall” be performed in accordance with the policies and procedures outlined in Appendix J.</w:t>
      </w:r>
    </w:p>
    <w:p w14:paraId="26F55151" w14:textId="77777777" w:rsidR="00417F11" w:rsidRDefault="00417F11" w:rsidP="000C215D">
      <w:pPr>
        <w:pStyle w:val="FootnoteText"/>
      </w:pPr>
    </w:p>
  </w:footnote>
  <w:footnote w:id="32">
    <w:p w14:paraId="78D4914E" w14:textId="0381062B" w:rsidR="00417F11" w:rsidRDefault="00417F11" w:rsidP="00EC045B">
      <w:pPr>
        <w:pStyle w:val="FootnoteText"/>
      </w:pPr>
      <w:r>
        <w:rPr>
          <w:rStyle w:val="FootnoteReference"/>
        </w:rPr>
        <w:footnoteRef/>
      </w:r>
      <w:r>
        <w:t xml:space="preserve"> </w:t>
      </w:r>
      <w:r w:rsidRPr="00482761">
        <w:t>18 CFR</w:t>
      </w:r>
      <w:r>
        <w:t xml:space="preserve"> §</w:t>
      </w:r>
      <w:r w:rsidRPr="00482761">
        <w:t xml:space="preserve"> 304(c)(3)(ii)</w:t>
      </w:r>
      <w:r>
        <w:t>.</w:t>
      </w:r>
    </w:p>
  </w:footnote>
  <w:footnote w:id="33">
    <w:p w14:paraId="0DD756DF" w14:textId="64E8AC44" w:rsidR="00417F11" w:rsidRDefault="00417F11" w:rsidP="00EC045B">
      <w:pPr>
        <w:pStyle w:val="FootnoteText"/>
      </w:pPr>
      <w:r>
        <w:rPr>
          <w:rStyle w:val="FootnoteReference"/>
        </w:rPr>
        <w:footnoteRef/>
      </w:r>
      <w:r>
        <w:t xml:space="preserve"> </w:t>
      </w:r>
      <w:r w:rsidRPr="00611FC1">
        <w:t>The Commission heard years of litigation in the mid-90’s in Docket 19279 before establishing the Proxy Unit Methodology to pay avoided cost capacity payments to QFs “that operate similar to a base load facility.”</w:t>
      </w:r>
      <w:r>
        <w:t xml:space="preserve"> </w:t>
      </w:r>
      <w:r w:rsidRPr="00611FC1">
        <w:t>The Commission purposefully designed the Proxy Unit Methodology as an extension of an IRP-based capacity RFP under its RFP Rule, and any review of the Commission’s multiple and lengthy orders in Docket 19279 quickly confirm this methodology has no other appropriate application outside of an IRP-based capacity RFP.</w:t>
      </w:r>
    </w:p>
  </w:footnote>
  <w:footnote w:id="34">
    <w:p w14:paraId="28A3A43E" w14:textId="40123CB9" w:rsidR="00417F11" w:rsidRDefault="00417F11" w:rsidP="00AD509C">
      <w:pPr>
        <w:pStyle w:val="FootnoteText"/>
      </w:pPr>
      <w:r>
        <w:rPr>
          <w:rStyle w:val="FootnoteReference"/>
        </w:rPr>
        <w:footnoteRef/>
      </w:r>
      <w:r>
        <w:t xml:space="preserve"> Georgia Power further notes that the “Rated” PPA includes a concept of a QF selling directly to a Georgia Power customer, which is a concept that is violative of Georgia’s Territorial Service Act. </w:t>
      </w:r>
      <w:r w:rsidRPr="001533FF">
        <w:t xml:space="preserve">O.C.G.A. § 46-3-1, </w:t>
      </w:r>
      <w:r w:rsidRPr="001533FF">
        <w:rPr>
          <w:i/>
          <w:iCs/>
        </w:rPr>
        <w:t>et seq.</w:t>
      </w:r>
    </w:p>
  </w:footnote>
  <w:footnote w:id="35">
    <w:p w14:paraId="49B085A0" w14:textId="062159D4" w:rsidR="00417F11" w:rsidRDefault="00417F11" w:rsidP="009367D5">
      <w:pPr>
        <w:pStyle w:val="FootnoteText"/>
      </w:pPr>
      <w:r>
        <w:rPr>
          <w:rStyle w:val="FootnoteReference"/>
        </w:rPr>
        <w:footnoteRef/>
      </w:r>
      <w:r>
        <w:t xml:space="preserve"> GLSSA Witness Wilson’s “Rated” PPA appears to offer an undefined requirement for a QF to return payments the Company has paid as compensation for the product a QF has already delivered as a penalty for early termination. Not only does this concept appear to be fundamentally unfair to the QF, it also does not provide any real solution for making customers whole for its overpayments because there is no performance security committed by the QF and it is highly likely Georgia Power would have to sue the QF for recoupment. </w:t>
      </w:r>
    </w:p>
  </w:footnote>
  <w:footnote w:id="36">
    <w:p w14:paraId="40ED3938" w14:textId="0A094710" w:rsidR="00417F11" w:rsidRDefault="00417F11" w:rsidP="000E2251">
      <w:pPr>
        <w:pStyle w:val="FootnoteText"/>
      </w:pPr>
      <w:r>
        <w:rPr>
          <w:rStyle w:val="FootnoteReference"/>
        </w:rPr>
        <w:footnoteRef/>
      </w:r>
      <w:r>
        <w:t xml:space="preserve"> </w:t>
      </w:r>
      <w:r w:rsidRPr="00A21E09">
        <w:rPr>
          <w:i/>
          <w:iCs/>
        </w:rPr>
        <w:t>See</w:t>
      </w:r>
      <w:r>
        <w:t xml:space="preserve"> Order 872-A, P 145 (“The Commission stated that, although PURPA requires the Commission to adopt rules that encourage the development of QFs, PURPA does not provide a guarantee that any particular QF will be developed or profitable.” (citing Order No. 872, P 335)).</w:t>
      </w:r>
    </w:p>
  </w:footnote>
  <w:footnote w:id="37">
    <w:p w14:paraId="67C31130" w14:textId="3562C56A" w:rsidR="00417F11" w:rsidRDefault="00417F11" w:rsidP="009C5B2F">
      <w:pPr>
        <w:pStyle w:val="FootnoteText"/>
      </w:pPr>
      <w:r>
        <w:rPr>
          <w:rStyle w:val="FootnoteReference"/>
        </w:rPr>
        <w:footnoteRef/>
      </w:r>
      <w:r>
        <w:t xml:space="preserve"> Order No. 872-A, P 76.</w:t>
      </w:r>
    </w:p>
  </w:footnote>
  <w:footnote w:id="38">
    <w:p w14:paraId="3C986C48" w14:textId="77D4F114" w:rsidR="00417F11" w:rsidRDefault="00417F11" w:rsidP="000E2251">
      <w:pPr>
        <w:pStyle w:val="FootnoteText"/>
      </w:pPr>
      <w:r>
        <w:rPr>
          <w:rStyle w:val="FootnoteReference"/>
        </w:rPr>
        <w:footnoteRef/>
      </w:r>
      <w:r>
        <w:t xml:space="preserve"> 1994 Final Order at 8-9 (</w:t>
      </w:r>
      <w:r w:rsidRPr="00FD0056">
        <w:rPr>
          <w:color w:val="000000"/>
          <w:spacing w:val="-2"/>
        </w:rPr>
        <w:t>“[a]ny changes to the transmission system resulting from the interconnection of a given QF shall be reflected in payments, whether an increase or decrease is warranted.”</w:t>
      </w:r>
      <w:r>
        <w:rPr>
          <w:color w:val="000000"/>
          <w:spacing w:val="-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0208553E"/>
    <w:lvl w:ilvl="0">
      <w:numFmt w:val="bullet"/>
      <w:pStyle w:val="Style1"/>
      <w:lvlText w:val="*"/>
      <w:lvlJc w:val="left"/>
    </w:lvl>
  </w:abstractNum>
  <w:abstractNum w:abstractNumId="1" w15:restartNumberingAfterBreak="0">
    <w:nsid w:val="012D4D8A"/>
    <w:multiLevelType w:val="hybridMultilevel"/>
    <w:tmpl w:val="3716B2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66E5E"/>
    <w:multiLevelType w:val="multilevel"/>
    <w:tmpl w:val="2E8C30DC"/>
    <w:lvl w:ilvl="0">
      <w:start w:val="1"/>
      <w:numFmt w:val="none"/>
      <w:lvlRestart w:val="0"/>
      <w:pStyle w:val="Question1"/>
      <w:lvlText w:val="Q.%1"/>
      <w:lvlJc w:val="left"/>
      <w:pPr>
        <w:ind w:left="720" w:hanging="720"/>
      </w:pPr>
      <w:rPr>
        <w:rFonts w:ascii="Times New Roman" w:hAnsi="Times New Roman" w:cs="Times New Roman" w:hint="default"/>
        <w:b/>
        <w:i w:val="0"/>
        <w:caps w:val="0"/>
        <w:smallCaps w:val="0"/>
        <w:strike w:val="0"/>
        <w:dstrike w:val="0"/>
        <w:vanish w:val="0"/>
        <w:color w:val="auto"/>
        <w:spacing w:val="0"/>
        <w:w w:val="100"/>
        <w:kern w:val="0"/>
        <w:position w:val="0"/>
        <w:sz w:val="24"/>
        <w:u w:val="none"/>
        <w:effect w:val="none"/>
        <w:vertAlign w:val="baseline"/>
      </w:rPr>
    </w:lvl>
    <w:lvl w:ilvl="1">
      <w:start w:val="1"/>
      <w:numFmt w:val="none"/>
      <w:pStyle w:val="Question2"/>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2">
      <w:start w:val="1"/>
      <w:numFmt w:val="none"/>
      <w:pStyle w:val="Question3"/>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3">
      <w:start w:val="1"/>
      <w:numFmt w:val="none"/>
      <w:pStyle w:val="Question4"/>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4">
      <w:start w:val="1"/>
      <w:numFmt w:val="none"/>
      <w:pStyle w:val="Question5"/>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5">
      <w:start w:val="1"/>
      <w:numFmt w:val="none"/>
      <w:pStyle w:val="Question6"/>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6">
      <w:start w:val="1"/>
      <w:numFmt w:val="none"/>
      <w:lvlRestart w:val="0"/>
      <w:pStyle w:val="Question7"/>
      <w:suff w:val="nothing"/>
      <w:lvlText w:val=""/>
      <w:lvlJc w:val="left"/>
      <w:pPr>
        <w:ind w:left="0" w:firstLine="0"/>
      </w:pPr>
      <w:rPr>
        <w:rFonts w:ascii="(normal text)" w:hAnsi="(normal text)" w:cs="Times New Roman" w:hint="default"/>
        <w:b w:val="0"/>
        <w:i w:val="0"/>
        <w:caps w:val="0"/>
        <w:smallCaps w:val="0"/>
        <w:strike w:val="0"/>
        <w:dstrike w:val="0"/>
        <w:vanish w:val="0"/>
        <w:spacing w:val="0"/>
        <w:w w:val="100"/>
        <w:kern w:val="0"/>
        <w:position w:val="0"/>
        <w:sz w:val="24"/>
        <w:u w:val="none"/>
        <w:effect w:val="none"/>
        <w:vertAlign w:val="baseline"/>
      </w:rPr>
    </w:lvl>
    <w:lvl w:ilvl="7">
      <w:start w:val="1"/>
      <w:numFmt w:val="none"/>
      <w:lvlRestart w:val="0"/>
      <w:pStyle w:val="Question8"/>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lvl w:ilvl="8">
      <w:start w:val="1"/>
      <w:numFmt w:val="none"/>
      <w:lvlRestart w:val="0"/>
      <w:pStyle w:val="Question9"/>
      <w:suff w:val="nothing"/>
      <w:lvlText w:val=""/>
      <w:lvlJc w:val="left"/>
      <w:pPr>
        <w:ind w:left="0" w:firstLine="0"/>
      </w:pPr>
      <w:rPr>
        <w:rFonts w:ascii="(normal text)" w:hAnsi="(normal text)" w:cs="Times New Roman" w:hint="default"/>
        <w:b w:val="0"/>
        <w:i w:val="0"/>
        <w:caps w:val="0"/>
        <w:smallCaps w:val="0"/>
        <w:strike w:val="0"/>
        <w:dstrike w:val="0"/>
        <w:vanish w:val="0"/>
        <w:color w:val="auto"/>
        <w:spacing w:val="0"/>
        <w:w w:val="100"/>
        <w:kern w:val="0"/>
        <w:position w:val="0"/>
        <w:sz w:val="24"/>
        <w:u w:val="none"/>
        <w:effect w:val="none"/>
        <w:vertAlign w:val="baseline"/>
      </w:rPr>
    </w:lvl>
  </w:abstractNum>
  <w:abstractNum w:abstractNumId="3" w15:restartNumberingAfterBreak="0">
    <w:nsid w:val="060B7BB7"/>
    <w:multiLevelType w:val="hybridMultilevel"/>
    <w:tmpl w:val="C2D02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C3108"/>
    <w:multiLevelType w:val="multilevel"/>
    <w:tmpl w:val="610C8FD6"/>
    <w:lvl w:ilvl="0">
      <w:start w:val="1"/>
      <w:numFmt w:val="none"/>
      <w:lvlRestart w:val="0"/>
      <w:lvlText w:val="A.%1"/>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1">
      <w:start w:val="1"/>
      <w:numFmt w:val="bullet"/>
      <w:pStyle w:val="Answer3"/>
      <w:lvlText w:val=""/>
      <w:lvlJc w:val="left"/>
      <w:pPr>
        <w:tabs>
          <w:tab w:val="num" w:pos="-360"/>
        </w:tabs>
        <w:ind w:left="-360" w:firstLine="360"/>
      </w:pPr>
      <w:rPr>
        <w:rFonts w:ascii="Symbol" w:hAnsi="Symbol" w:hint="default"/>
        <w:b w:val="0"/>
        <w:i w:val="0"/>
        <w:caps w:val="0"/>
        <w:strike w:val="0"/>
        <w:dstrike w:val="0"/>
        <w:vanish w:val="0"/>
        <w:color w:val="auto"/>
        <w:sz w:val="24"/>
        <w:u w:val="none"/>
        <w:effect w:val="none"/>
        <w:vertAlign w:val="base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5" w15:restartNumberingAfterBreak="0">
    <w:nsid w:val="0D511DA5"/>
    <w:multiLevelType w:val="hybridMultilevel"/>
    <w:tmpl w:val="B2E216F4"/>
    <w:lvl w:ilvl="0" w:tplc="92EC024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200C70"/>
    <w:multiLevelType w:val="hybridMultilevel"/>
    <w:tmpl w:val="CA56E16A"/>
    <w:lvl w:ilvl="0" w:tplc="CD12E1C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1456"/>
    <w:multiLevelType w:val="hybridMultilevel"/>
    <w:tmpl w:val="69F2E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47F49"/>
    <w:multiLevelType w:val="hybridMultilevel"/>
    <w:tmpl w:val="A9A80642"/>
    <w:lvl w:ilvl="0" w:tplc="F1C825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C5361"/>
    <w:multiLevelType w:val="hybridMultilevel"/>
    <w:tmpl w:val="D7E63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B4963"/>
    <w:multiLevelType w:val="hybridMultilevel"/>
    <w:tmpl w:val="50342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80092D"/>
    <w:multiLevelType w:val="hybridMultilevel"/>
    <w:tmpl w:val="FEA2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A41571"/>
    <w:multiLevelType w:val="hybridMultilevel"/>
    <w:tmpl w:val="849C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D51A4"/>
    <w:multiLevelType w:val="hybridMultilevel"/>
    <w:tmpl w:val="6F6C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03A48"/>
    <w:multiLevelType w:val="hybridMultilevel"/>
    <w:tmpl w:val="2B9EA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31772"/>
    <w:multiLevelType w:val="hybridMultilevel"/>
    <w:tmpl w:val="2BDE3B7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29E61BE3"/>
    <w:multiLevelType w:val="hybridMultilevel"/>
    <w:tmpl w:val="73B6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5F3DE3"/>
    <w:multiLevelType w:val="hybridMultilevel"/>
    <w:tmpl w:val="F9166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83164"/>
    <w:multiLevelType w:val="hybridMultilevel"/>
    <w:tmpl w:val="0E6A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B74728"/>
    <w:multiLevelType w:val="hybridMultilevel"/>
    <w:tmpl w:val="27AC4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C0991"/>
    <w:multiLevelType w:val="hybridMultilevel"/>
    <w:tmpl w:val="4B60F3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A962F6"/>
    <w:multiLevelType w:val="hybridMultilevel"/>
    <w:tmpl w:val="A4D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C721E6"/>
    <w:multiLevelType w:val="hybridMultilevel"/>
    <w:tmpl w:val="11FEA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970449"/>
    <w:multiLevelType w:val="hybridMultilevel"/>
    <w:tmpl w:val="0F429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8616F7"/>
    <w:multiLevelType w:val="hybridMultilevel"/>
    <w:tmpl w:val="85B27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6FE6A9E"/>
    <w:multiLevelType w:val="hybridMultilevel"/>
    <w:tmpl w:val="F8D8F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A7AF3"/>
    <w:multiLevelType w:val="hybridMultilevel"/>
    <w:tmpl w:val="4B4AB874"/>
    <w:lvl w:ilvl="0" w:tplc="208E64B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72EC8"/>
    <w:multiLevelType w:val="hybridMultilevel"/>
    <w:tmpl w:val="910E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A76AA5"/>
    <w:multiLevelType w:val="hybridMultilevel"/>
    <w:tmpl w:val="2F22B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C009B4"/>
    <w:multiLevelType w:val="hybridMultilevel"/>
    <w:tmpl w:val="FF2E5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16354"/>
    <w:multiLevelType w:val="hybridMultilevel"/>
    <w:tmpl w:val="95A2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C15774"/>
    <w:multiLevelType w:val="hybridMultilevel"/>
    <w:tmpl w:val="D7B6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32413"/>
    <w:multiLevelType w:val="multilevel"/>
    <w:tmpl w:val="08F01ED8"/>
    <w:lvl w:ilvl="0">
      <w:start w:val="1"/>
      <w:numFmt w:val="none"/>
      <w:lvlRestart w:val="0"/>
      <w:pStyle w:val="Answer1"/>
      <w:lvlText w:val="A.%1"/>
      <w:lvlJc w:val="left"/>
      <w:pPr>
        <w:tabs>
          <w:tab w:val="num" w:pos="270"/>
        </w:tabs>
        <w:ind w:left="270" w:firstLine="0"/>
      </w:pPr>
      <w:rPr>
        <w:rFonts w:ascii="Times New Roman" w:hAnsi="Times New Roman" w:cs="Times New Roman"/>
        <w:b w:val="0"/>
        <w:i w:val="0"/>
        <w:caps w:val="0"/>
        <w:strike w:val="0"/>
        <w:dstrike w:val="0"/>
        <w:vanish w:val="0"/>
        <w:sz w:val="24"/>
        <w:u w:val="none"/>
        <w:effect w:val="none"/>
        <w:vertAlign w:val="baseline"/>
      </w:rPr>
    </w:lvl>
    <w:lvl w:ilvl="1">
      <w:start w:val="1"/>
      <w:numFmt w:val="none"/>
      <w:pStyle w:val="Answer2"/>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2">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3">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4">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5">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6">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7">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lvl w:ilvl="8">
      <w:start w:val="1"/>
      <w:numFmt w:val="none"/>
      <w:suff w:val="nothing"/>
      <w:lvlText w:val=""/>
      <w:lvlJc w:val="left"/>
      <w:pPr>
        <w:tabs>
          <w:tab w:val="num" w:pos="0"/>
        </w:tabs>
        <w:ind w:left="0" w:firstLine="0"/>
      </w:pPr>
      <w:rPr>
        <w:rFonts w:ascii="Times New Roman" w:hAnsi="Times New Roman" w:cs="Times New Roman"/>
        <w:b w:val="0"/>
        <w:i w:val="0"/>
        <w:caps w:val="0"/>
        <w:strike w:val="0"/>
        <w:dstrike w:val="0"/>
        <w:vanish w:val="0"/>
        <w:sz w:val="24"/>
        <w:u w:val="none"/>
        <w:effect w:val="none"/>
        <w:vertAlign w:val="baseline"/>
      </w:rPr>
    </w:lvl>
  </w:abstractNum>
  <w:abstractNum w:abstractNumId="33" w15:restartNumberingAfterBreak="0">
    <w:nsid w:val="5B871FAF"/>
    <w:multiLevelType w:val="hybridMultilevel"/>
    <w:tmpl w:val="4820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E23E3"/>
    <w:multiLevelType w:val="hybridMultilevel"/>
    <w:tmpl w:val="C4AA4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D86450"/>
    <w:multiLevelType w:val="hybridMultilevel"/>
    <w:tmpl w:val="3A181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E7493B"/>
    <w:multiLevelType w:val="hybridMultilevel"/>
    <w:tmpl w:val="21B69A7A"/>
    <w:lvl w:ilvl="0" w:tplc="DD58F97E">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4B3A97"/>
    <w:multiLevelType w:val="hybridMultilevel"/>
    <w:tmpl w:val="DB3E5BF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C111BE"/>
    <w:multiLevelType w:val="hybridMultilevel"/>
    <w:tmpl w:val="CF62A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D0D93"/>
    <w:multiLevelType w:val="multilevel"/>
    <w:tmpl w:val="8FBEDE06"/>
    <w:name w:val="zzmpOutline||Outline|2|3|1|1|12|33||1|12|0||1|12|0||1|12|0||1|12|0||1|12|0||1|12|0||1|12|0||1|12|0||"/>
    <w:lvl w:ilvl="0">
      <w:start w:val="1"/>
      <w:numFmt w:val="upperRoman"/>
      <w:pStyle w:val="OutlineL1"/>
      <w:lvlText w:val="%1."/>
      <w:lvlJc w:val="left"/>
      <w:pPr>
        <w:tabs>
          <w:tab w:val="num" w:pos="720"/>
        </w:tabs>
        <w:ind w:left="720" w:hanging="720"/>
      </w:pPr>
      <w:rPr>
        <w:b/>
        <w:i w:val="0"/>
        <w:caps w:val="0"/>
        <w:smallCaps w:val="0"/>
        <w:u w:val="none"/>
      </w:rPr>
    </w:lvl>
    <w:lvl w:ilvl="1">
      <w:start w:val="1"/>
      <w:numFmt w:val="decimal"/>
      <w:lvlRestart w:val="0"/>
      <w:pStyle w:val="OutlineL2"/>
      <w:lvlText w:val="%2."/>
      <w:lvlJc w:val="left"/>
      <w:pPr>
        <w:tabs>
          <w:tab w:val="num" w:pos="1440"/>
        </w:tabs>
        <w:ind w:left="1440" w:hanging="720"/>
      </w:pPr>
      <w:rPr>
        <w:b w:val="0"/>
        <w:i w:val="0"/>
        <w:caps w:val="0"/>
        <w:smallCaps w:val="0"/>
        <w:u w:val="none"/>
      </w:rPr>
    </w:lvl>
    <w:lvl w:ilvl="2">
      <w:start w:val="1"/>
      <w:numFmt w:val="lowerRoman"/>
      <w:pStyle w:val="OutlineL3"/>
      <w:lvlText w:val="%3."/>
      <w:lvlJc w:val="left"/>
      <w:pPr>
        <w:tabs>
          <w:tab w:val="num" w:pos="2160"/>
        </w:tabs>
        <w:ind w:left="2160" w:hanging="720"/>
      </w:pPr>
      <w:rPr>
        <w:b w:val="0"/>
        <w:i w:val="0"/>
        <w:caps w:val="0"/>
        <w:smallCaps w:val="0"/>
        <w:u w:val="none"/>
      </w:rPr>
    </w:lvl>
    <w:lvl w:ilvl="3">
      <w:start w:val="1"/>
      <w:numFmt w:val="lowerLetter"/>
      <w:pStyle w:val="OutlineL4"/>
      <w:lvlText w:val="%4."/>
      <w:lvlJc w:val="left"/>
      <w:pPr>
        <w:tabs>
          <w:tab w:val="num" w:pos="2880"/>
        </w:tabs>
        <w:ind w:left="2160" w:firstLine="0"/>
      </w:pPr>
      <w:rPr>
        <w:b w:val="0"/>
        <w:i w:val="0"/>
        <w:caps w:val="0"/>
        <w:smallCaps w:val="0"/>
        <w:u w:val="none"/>
      </w:rPr>
    </w:lvl>
    <w:lvl w:ilvl="4">
      <w:start w:val="1"/>
      <w:numFmt w:val="lowerRoman"/>
      <w:pStyle w:val="OutlineL5"/>
      <w:lvlText w:val="(%5)"/>
      <w:lvlJc w:val="left"/>
      <w:pPr>
        <w:tabs>
          <w:tab w:val="num" w:pos="3600"/>
        </w:tabs>
        <w:ind w:left="0" w:firstLine="2880"/>
      </w:pPr>
      <w:rPr>
        <w:b w:val="0"/>
        <w:i w:val="0"/>
        <w:caps w:val="0"/>
        <w:smallCaps w:val="0"/>
        <w:u w:val="none"/>
      </w:rPr>
    </w:lvl>
    <w:lvl w:ilvl="5">
      <w:start w:val="1"/>
      <w:numFmt w:val="lowerLetter"/>
      <w:pStyle w:val="OutlineL6"/>
      <w:lvlText w:val="(%6)"/>
      <w:lvlJc w:val="left"/>
      <w:pPr>
        <w:tabs>
          <w:tab w:val="num" w:pos="4320"/>
        </w:tabs>
        <w:ind w:left="0" w:firstLine="3600"/>
      </w:pPr>
      <w:rPr>
        <w:b w:val="0"/>
        <w:i w:val="0"/>
        <w:caps w:val="0"/>
        <w:smallCaps w:val="0"/>
        <w:u w:val="none"/>
      </w:rPr>
    </w:lvl>
    <w:lvl w:ilvl="6">
      <w:start w:val="1"/>
      <w:numFmt w:val="decimal"/>
      <w:pStyle w:val="OutlineL7"/>
      <w:lvlText w:val="(%7)"/>
      <w:lvlJc w:val="left"/>
      <w:pPr>
        <w:tabs>
          <w:tab w:val="num" w:pos="5040"/>
        </w:tabs>
        <w:ind w:left="0" w:firstLine="4320"/>
      </w:pPr>
      <w:rPr>
        <w:b w:val="0"/>
        <w:i w:val="0"/>
        <w:caps w:val="0"/>
        <w:smallCaps w:val="0"/>
        <w:u w:val="none"/>
      </w:rPr>
    </w:lvl>
    <w:lvl w:ilvl="7">
      <w:start w:val="1"/>
      <w:numFmt w:val="lowerRoman"/>
      <w:pStyle w:val="OutlineL8"/>
      <w:lvlText w:val="%8)"/>
      <w:lvlJc w:val="left"/>
      <w:pPr>
        <w:tabs>
          <w:tab w:val="num" w:pos="5760"/>
        </w:tabs>
        <w:ind w:left="0" w:firstLine="5040"/>
      </w:pPr>
      <w:rPr>
        <w:b w:val="0"/>
        <w:i w:val="0"/>
        <w:caps w:val="0"/>
        <w:smallCaps w:val="0"/>
        <w:u w:val="none"/>
      </w:rPr>
    </w:lvl>
    <w:lvl w:ilvl="8">
      <w:start w:val="1"/>
      <w:numFmt w:val="lowerLetter"/>
      <w:pStyle w:val="OutlineL9"/>
      <w:lvlText w:val="%9)"/>
      <w:lvlJc w:val="left"/>
      <w:pPr>
        <w:tabs>
          <w:tab w:val="num" w:pos="6480"/>
        </w:tabs>
        <w:ind w:left="0" w:firstLine="5760"/>
      </w:pPr>
      <w:rPr>
        <w:b w:val="0"/>
        <w:i w:val="0"/>
        <w:caps w:val="0"/>
        <w:smallCaps w:val="0"/>
        <w:u w:val="none"/>
      </w:rPr>
    </w:lvl>
  </w:abstractNum>
  <w:abstractNum w:abstractNumId="40" w15:restartNumberingAfterBreak="0">
    <w:nsid w:val="6FEC01C5"/>
    <w:multiLevelType w:val="hybridMultilevel"/>
    <w:tmpl w:val="6B2AA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C24C1"/>
    <w:multiLevelType w:val="hybridMultilevel"/>
    <w:tmpl w:val="F16414E6"/>
    <w:lvl w:ilvl="0" w:tplc="EF6C8814">
      <w:start w:val="1"/>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423151"/>
    <w:multiLevelType w:val="multilevel"/>
    <w:tmpl w:val="470A9A00"/>
    <w:lvl w:ilvl="0">
      <w:start w:val="1"/>
      <w:numFmt w:val="upperRoman"/>
      <w:pStyle w:val="Heading1"/>
      <w:lvlText w:val="%1."/>
      <w:lvlJc w:val="left"/>
      <w:pPr>
        <w:ind w:left="0" w:firstLine="0"/>
      </w:pPr>
      <w:rPr>
        <w:rFonts w:ascii="Times New Roman" w:hAnsi="Times New Roman" w:cs="Times New Roman" w:hint="default"/>
        <w:b/>
        <w:bCs w:val="0"/>
        <w:sz w:val="24"/>
        <w:szCs w:val="24"/>
      </w:rPr>
    </w:lvl>
    <w:lvl w:ilvl="1">
      <w:start w:val="1"/>
      <w:numFmt w:val="upperLetter"/>
      <w:pStyle w:val="Heading2"/>
      <w:lvlText w:val="%2."/>
      <w:lvlJc w:val="left"/>
      <w:pPr>
        <w:ind w:left="720" w:firstLine="0"/>
      </w:pPr>
      <w:rPr>
        <w:rFonts w:ascii="Times New Roman" w:hAnsi="Times New Roman" w:cs="Times New Roman" w:hint="default"/>
        <w:b/>
        <w:bCs w:val="0"/>
        <w:i/>
        <w:iCs w:val="0"/>
        <w:sz w:val="24"/>
        <w:szCs w:val="24"/>
      </w:rPr>
    </w:lvl>
    <w:lvl w:ilvl="2">
      <w:start w:val="1"/>
      <w:numFmt w:val="decimal"/>
      <w:pStyle w:val="Heading3"/>
      <w:lvlText w:val="%3."/>
      <w:lvlJc w:val="left"/>
      <w:pPr>
        <w:ind w:left="1440" w:firstLine="0"/>
      </w:pPr>
      <w:rPr>
        <w:rFonts w:ascii="Times New Roman" w:hAnsi="Times New Roman" w:cs="Times New Roman" w:hint="default"/>
        <w:sz w:val="24"/>
        <w:szCs w:val="24"/>
      </w:r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43" w15:restartNumberingAfterBreak="0">
    <w:nsid w:val="77D2751E"/>
    <w:multiLevelType w:val="hybridMultilevel"/>
    <w:tmpl w:val="BC1C2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A5010F"/>
    <w:multiLevelType w:val="hybridMultilevel"/>
    <w:tmpl w:val="85DE0E58"/>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cs="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45" w15:restartNumberingAfterBreak="0">
    <w:nsid w:val="7B485F7D"/>
    <w:multiLevelType w:val="hybridMultilevel"/>
    <w:tmpl w:val="F6D04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Style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4"/>
  </w:num>
  <w:num w:numId="5">
    <w:abstractNumId w:val="42"/>
  </w:num>
  <w:num w:numId="6">
    <w:abstractNumId w:val="39"/>
  </w:num>
  <w:num w:numId="7">
    <w:abstractNumId w:val="35"/>
  </w:num>
  <w:num w:numId="8">
    <w:abstractNumId w:val="38"/>
  </w:num>
  <w:num w:numId="9">
    <w:abstractNumId w:val="40"/>
  </w:num>
  <w:num w:numId="10">
    <w:abstractNumId w:val="17"/>
  </w:num>
  <w:num w:numId="11">
    <w:abstractNumId w:val="43"/>
  </w:num>
  <w:num w:numId="12">
    <w:abstractNumId w:val="19"/>
  </w:num>
  <w:num w:numId="13">
    <w:abstractNumId w:val="9"/>
  </w:num>
  <w:num w:numId="14">
    <w:abstractNumId w:val="28"/>
  </w:num>
  <w:num w:numId="15">
    <w:abstractNumId w:val="21"/>
  </w:num>
  <w:num w:numId="16">
    <w:abstractNumId w:val="18"/>
  </w:num>
  <w:num w:numId="17">
    <w:abstractNumId w:val="10"/>
  </w:num>
  <w:num w:numId="18">
    <w:abstractNumId w:val="13"/>
  </w:num>
  <w:num w:numId="19">
    <w:abstractNumId w:val="11"/>
  </w:num>
  <w:num w:numId="20">
    <w:abstractNumId w:val="14"/>
  </w:num>
  <w:num w:numId="21">
    <w:abstractNumId w:val="23"/>
  </w:num>
  <w:num w:numId="22">
    <w:abstractNumId w:val="34"/>
  </w:num>
  <w:num w:numId="23">
    <w:abstractNumId w:val="16"/>
  </w:num>
  <w:num w:numId="24">
    <w:abstractNumId w:val="3"/>
  </w:num>
  <w:num w:numId="25">
    <w:abstractNumId w:val="29"/>
  </w:num>
  <w:num w:numId="26">
    <w:abstractNumId w:val="44"/>
  </w:num>
  <w:num w:numId="27">
    <w:abstractNumId w:val="30"/>
  </w:num>
  <w:num w:numId="28">
    <w:abstractNumId w:val="7"/>
  </w:num>
  <w:num w:numId="29">
    <w:abstractNumId w:val="6"/>
  </w:num>
  <w:num w:numId="30">
    <w:abstractNumId w:val="27"/>
  </w:num>
  <w:num w:numId="31">
    <w:abstractNumId w:val="41"/>
  </w:num>
  <w:num w:numId="32">
    <w:abstractNumId w:val="22"/>
  </w:num>
  <w:num w:numId="33">
    <w:abstractNumId w:val="45"/>
  </w:num>
  <w:num w:numId="34">
    <w:abstractNumId w:val="24"/>
  </w:num>
  <w:num w:numId="35">
    <w:abstractNumId w:val="25"/>
  </w:num>
  <w:num w:numId="36">
    <w:abstractNumId w:val="31"/>
  </w:num>
  <w:num w:numId="37">
    <w:abstractNumId w:val="12"/>
  </w:num>
  <w:num w:numId="38">
    <w:abstractNumId w:val="15"/>
  </w:num>
  <w:num w:numId="39">
    <w:abstractNumId w:val="33"/>
  </w:num>
  <w:num w:numId="40">
    <w:abstractNumId w:val="20"/>
  </w:num>
  <w:num w:numId="41">
    <w:abstractNumId w:val="1"/>
  </w:num>
  <w:num w:numId="42">
    <w:abstractNumId w:val="26"/>
  </w:num>
  <w:num w:numId="43">
    <w:abstractNumId w:val="5"/>
  </w:num>
  <w:num w:numId="4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85TrailerClientMatter" w:val="0"/>
    <w:docVar w:name="85TrailerDate" w:val="0"/>
    <w:docVar w:name="85TrailerDateField" w:val="0"/>
    <w:docVar w:name="85TrailerDraft" w:val="0"/>
    <w:docVar w:name="85TrailerLibrary" w:val="0"/>
    <w:docVar w:name="85TrailerTime" w:val="0"/>
    <w:docVar w:name="85TrailerType" w:val="102"/>
    <w:docVar w:name="85TrailerVersion" w:val="1"/>
    <w:docVar w:name="DocStamp_1_OptionalControlValues" w:val="Library|&amp;Library|0|%l|Version|&amp;Version|0|%v|ClientMatter|&amp;Client/Matter|0|%cm"/>
    <w:docVar w:name="MPDocID" w:val="111766058v15"/>
    <w:docVar w:name="MPDocIDTemplate" w:val="%l| %n|v%v| %c|.%m"/>
    <w:docVar w:name="MPDocIDTemplateDefault" w:val="%l| %n|v%v| %c|.%m"/>
    <w:docVar w:name="NewDocStampType" w:val="7"/>
    <w:docVar w:name="zzmpLegacyTrailerRemovedNew" w:val="True"/>
    <w:docVar w:name="zzmpTrailerDateFormat" w:val="0"/>
  </w:docVars>
  <w:rsids>
    <w:rsidRoot w:val="0047738B"/>
    <w:rsid w:val="00000370"/>
    <w:rsid w:val="00000372"/>
    <w:rsid w:val="000006EB"/>
    <w:rsid w:val="00000C8E"/>
    <w:rsid w:val="00000CFF"/>
    <w:rsid w:val="00000D2B"/>
    <w:rsid w:val="00001135"/>
    <w:rsid w:val="00001255"/>
    <w:rsid w:val="0000126C"/>
    <w:rsid w:val="000012B8"/>
    <w:rsid w:val="000013F9"/>
    <w:rsid w:val="00001505"/>
    <w:rsid w:val="00001642"/>
    <w:rsid w:val="000016DA"/>
    <w:rsid w:val="000017C3"/>
    <w:rsid w:val="000017F6"/>
    <w:rsid w:val="00001951"/>
    <w:rsid w:val="00002164"/>
    <w:rsid w:val="00002206"/>
    <w:rsid w:val="000024BE"/>
    <w:rsid w:val="000026E0"/>
    <w:rsid w:val="0000275E"/>
    <w:rsid w:val="00002905"/>
    <w:rsid w:val="00002911"/>
    <w:rsid w:val="00002B64"/>
    <w:rsid w:val="00002C0E"/>
    <w:rsid w:val="00002C3B"/>
    <w:rsid w:val="00002C7B"/>
    <w:rsid w:val="00002E22"/>
    <w:rsid w:val="00002E50"/>
    <w:rsid w:val="00003020"/>
    <w:rsid w:val="00003147"/>
    <w:rsid w:val="000031A1"/>
    <w:rsid w:val="0000341D"/>
    <w:rsid w:val="00003790"/>
    <w:rsid w:val="000037B7"/>
    <w:rsid w:val="00003848"/>
    <w:rsid w:val="000039DC"/>
    <w:rsid w:val="00003A60"/>
    <w:rsid w:val="00003A93"/>
    <w:rsid w:val="00003BD4"/>
    <w:rsid w:val="00003C21"/>
    <w:rsid w:val="00003CA1"/>
    <w:rsid w:val="00003DDA"/>
    <w:rsid w:val="00004363"/>
    <w:rsid w:val="000044D3"/>
    <w:rsid w:val="0000467B"/>
    <w:rsid w:val="0000489E"/>
    <w:rsid w:val="000048CC"/>
    <w:rsid w:val="00004A7D"/>
    <w:rsid w:val="00004B64"/>
    <w:rsid w:val="00004DAF"/>
    <w:rsid w:val="00004E5B"/>
    <w:rsid w:val="00004EA4"/>
    <w:rsid w:val="00004FEB"/>
    <w:rsid w:val="00005103"/>
    <w:rsid w:val="000051D3"/>
    <w:rsid w:val="00005248"/>
    <w:rsid w:val="0000546F"/>
    <w:rsid w:val="000054C3"/>
    <w:rsid w:val="0000553C"/>
    <w:rsid w:val="00005665"/>
    <w:rsid w:val="00005685"/>
    <w:rsid w:val="000056CB"/>
    <w:rsid w:val="0000575C"/>
    <w:rsid w:val="000057CF"/>
    <w:rsid w:val="00005C10"/>
    <w:rsid w:val="00005C77"/>
    <w:rsid w:val="000061FE"/>
    <w:rsid w:val="00006234"/>
    <w:rsid w:val="00006303"/>
    <w:rsid w:val="00006391"/>
    <w:rsid w:val="00006408"/>
    <w:rsid w:val="0000668F"/>
    <w:rsid w:val="00006935"/>
    <w:rsid w:val="00006A80"/>
    <w:rsid w:val="00006BC7"/>
    <w:rsid w:val="00007104"/>
    <w:rsid w:val="000072AB"/>
    <w:rsid w:val="0000742E"/>
    <w:rsid w:val="000074F0"/>
    <w:rsid w:val="0000755C"/>
    <w:rsid w:val="00007894"/>
    <w:rsid w:val="000079A6"/>
    <w:rsid w:val="00007C81"/>
    <w:rsid w:val="00007D7D"/>
    <w:rsid w:val="00007DC7"/>
    <w:rsid w:val="00007DCF"/>
    <w:rsid w:val="00007F08"/>
    <w:rsid w:val="00007FD0"/>
    <w:rsid w:val="00010069"/>
    <w:rsid w:val="000103A7"/>
    <w:rsid w:val="00010428"/>
    <w:rsid w:val="000105F3"/>
    <w:rsid w:val="0001078D"/>
    <w:rsid w:val="000108F2"/>
    <w:rsid w:val="00010A88"/>
    <w:rsid w:val="00010AD7"/>
    <w:rsid w:val="00010CE9"/>
    <w:rsid w:val="00010ECA"/>
    <w:rsid w:val="00010F41"/>
    <w:rsid w:val="00011460"/>
    <w:rsid w:val="00011689"/>
    <w:rsid w:val="000116CB"/>
    <w:rsid w:val="00011907"/>
    <w:rsid w:val="00011AB2"/>
    <w:rsid w:val="00011B33"/>
    <w:rsid w:val="00011D04"/>
    <w:rsid w:val="00011D54"/>
    <w:rsid w:val="00011ECD"/>
    <w:rsid w:val="00011F96"/>
    <w:rsid w:val="00011FC5"/>
    <w:rsid w:val="00011FF8"/>
    <w:rsid w:val="00012014"/>
    <w:rsid w:val="000122AD"/>
    <w:rsid w:val="0001238C"/>
    <w:rsid w:val="000123F8"/>
    <w:rsid w:val="0001250C"/>
    <w:rsid w:val="0001271D"/>
    <w:rsid w:val="000129E7"/>
    <w:rsid w:val="00012AC0"/>
    <w:rsid w:val="00012B08"/>
    <w:rsid w:val="00012C9C"/>
    <w:rsid w:val="00012D4E"/>
    <w:rsid w:val="00012D9B"/>
    <w:rsid w:val="00012F6C"/>
    <w:rsid w:val="000133D1"/>
    <w:rsid w:val="00013681"/>
    <w:rsid w:val="000136B3"/>
    <w:rsid w:val="00013912"/>
    <w:rsid w:val="00013A26"/>
    <w:rsid w:val="00013ACD"/>
    <w:rsid w:val="00013E54"/>
    <w:rsid w:val="00013EE8"/>
    <w:rsid w:val="00013F49"/>
    <w:rsid w:val="000140D7"/>
    <w:rsid w:val="000142CB"/>
    <w:rsid w:val="0001435C"/>
    <w:rsid w:val="0001436A"/>
    <w:rsid w:val="0001442D"/>
    <w:rsid w:val="000149B5"/>
    <w:rsid w:val="000149E4"/>
    <w:rsid w:val="000149FF"/>
    <w:rsid w:val="00014F49"/>
    <w:rsid w:val="00014F5D"/>
    <w:rsid w:val="00014FEA"/>
    <w:rsid w:val="00015064"/>
    <w:rsid w:val="00015148"/>
    <w:rsid w:val="000152D5"/>
    <w:rsid w:val="00015350"/>
    <w:rsid w:val="00015958"/>
    <w:rsid w:val="0001596E"/>
    <w:rsid w:val="00015C2C"/>
    <w:rsid w:val="00015DEC"/>
    <w:rsid w:val="00015DF6"/>
    <w:rsid w:val="00015EB3"/>
    <w:rsid w:val="00015EE2"/>
    <w:rsid w:val="00016078"/>
    <w:rsid w:val="000160F2"/>
    <w:rsid w:val="0001632E"/>
    <w:rsid w:val="00016356"/>
    <w:rsid w:val="00016622"/>
    <w:rsid w:val="00016631"/>
    <w:rsid w:val="00016755"/>
    <w:rsid w:val="0001676C"/>
    <w:rsid w:val="00016B74"/>
    <w:rsid w:val="00016EFE"/>
    <w:rsid w:val="00016F33"/>
    <w:rsid w:val="00016F9D"/>
    <w:rsid w:val="00016FC3"/>
    <w:rsid w:val="0001704A"/>
    <w:rsid w:val="000173BB"/>
    <w:rsid w:val="000177C1"/>
    <w:rsid w:val="0001781A"/>
    <w:rsid w:val="0001784E"/>
    <w:rsid w:val="000179B5"/>
    <w:rsid w:val="00017CB7"/>
    <w:rsid w:val="0002021B"/>
    <w:rsid w:val="0002022F"/>
    <w:rsid w:val="0002030B"/>
    <w:rsid w:val="000203A5"/>
    <w:rsid w:val="0002044B"/>
    <w:rsid w:val="000205A3"/>
    <w:rsid w:val="00020AAB"/>
    <w:rsid w:val="00020B26"/>
    <w:rsid w:val="00020B6F"/>
    <w:rsid w:val="00020BD2"/>
    <w:rsid w:val="00020C46"/>
    <w:rsid w:val="0002133C"/>
    <w:rsid w:val="0002139B"/>
    <w:rsid w:val="000214AF"/>
    <w:rsid w:val="000215C0"/>
    <w:rsid w:val="000216A8"/>
    <w:rsid w:val="0002178E"/>
    <w:rsid w:val="000218A1"/>
    <w:rsid w:val="00021B11"/>
    <w:rsid w:val="00021CD4"/>
    <w:rsid w:val="00022003"/>
    <w:rsid w:val="0002203D"/>
    <w:rsid w:val="00022202"/>
    <w:rsid w:val="0002230C"/>
    <w:rsid w:val="000223CC"/>
    <w:rsid w:val="0002247E"/>
    <w:rsid w:val="000224F5"/>
    <w:rsid w:val="00022537"/>
    <w:rsid w:val="0002267D"/>
    <w:rsid w:val="000227B7"/>
    <w:rsid w:val="000228FE"/>
    <w:rsid w:val="00022B3B"/>
    <w:rsid w:val="00022D47"/>
    <w:rsid w:val="00022DC5"/>
    <w:rsid w:val="00022FD4"/>
    <w:rsid w:val="0002302F"/>
    <w:rsid w:val="00023074"/>
    <w:rsid w:val="000231A7"/>
    <w:rsid w:val="00023364"/>
    <w:rsid w:val="000234AC"/>
    <w:rsid w:val="000235F3"/>
    <w:rsid w:val="00023678"/>
    <w:rsid w:val="00023680"/>
    <w:rsid w:val="000239EE"/>
    <w:rsid w:val="00023E5A"/>
    <w:rsid w:val="00023EA8"/>
    <w:rsid w:val="000242A4"/>
    <w:rsid w:val="00024488"/>
    <w:rsid w:val="00024776"/>
    <w:rsid w:val="00024872"/>
    <w:rsid w:val="00024A37"/>
    <w:rsid w:val="00024A94"/>
    <w:rsid w:val="00024F1D"/>
    <w:rsid w:val="00024FAD"/>
    <w:rsid w:val="0002507E"/>
    <w:rsid w:val="0002511F"/>
    <w:rsid w:val="0002539B"/>
    <w:rsid w:val="000256A1"/>
    <w:rsid w:val="00025910"/>
    <w:rsid w:val="0002598A"/>
    <w:rsid w:val="00025C95"/>
    <w:rsid w:val="00025D52"/>
    <w:rsid w:val="00025E6B"/>
    <w:rsid w:val="00025FED"/>
    <w:rsid w:val="0002636D"/>
    <w:rsid w:val="000263A7"/>
    <w:rsid w:val="000264B2"/>
    <w:rsid w:val="00026784"/>
    <w:rsid w:val="000268A9"/>
    <w:rsid w:val="00026A3C"/>
    <w:rsid w:val="00026B55"/>
    <w:rsid w:val="00026DEB"/>
    <w:rsid w:val="00026EC5"/>
    <w:rsid w:val="00026F1F"/>
    <w:rsid w:val="00026FD9"/>
    <w:rsid w:val="00027041"/>
    <w:rsid w:val="000271F4"/>
    <w:rsid w:val="00027293"/>
    <w:rsid w:val="000272BD"/>
    <w:rsid w:val="0002744D"/>
    <w:rsid w:val="00027512"/>
    <w:rsid w:val="000277AA"/>
    <w:rsid w:val="00027929"/>
    <w:rsid w:val="00027A2C"/>
    <w:rsid w:val="00027A9D"/>
    <w:rsid w:val="00027CC1"/>
    <w:rsid w:val="00027EF8"/>
    <w:rsid w:val="00030125"/>
    <w:rsid w:val="000302CF"/>
    <w:rsid w:val="0003041C"/>
    <w:rsid w:val="00030469"/>
    <w:rsid w:val="000304C5"/>
    <w:rsid w:val="000308A1"/>
    <w:rsid w:val="000308BE"/>
    <w:rsid w:val="00030A47"/>
    <w:rsid w:val="00030BAA"/>
    <w:rsid w:val="00030C27"/>
    <w:rsid w:val="00030F7D"/>
    <w:rsid w:val="00031204"/>
    <w:rsid w:val="00031492"/>
    <w:rsid w:val="00031798"/>
    <w:rsid w:val="0003186E"/>
    <w:rsid w:val="0003192E"/>
    <w:rsid w:val="00031A25"/>
    <w:rsid w:val="00031B96"/>
    <w:rsid w:val="00031BB6"/>
    <w:rsid w:val="00031C02"/>
    <w:rsid w:val="00031ECF"/>
    <w:rsid w:val="00031F0B"/>
    <w:rsid w:val="00031F4E"/>
    <w:rsid w:val="00032133"/>
    <w:rsid w:val="000321A9"/>
    <w:rsid w:val="00032214"/>
    <w:rsid w:val="0003231B"/>
    <w:rsid w:val="0003231F"/>
    <w:rsid w:val="0003244C"/>
    <w:rsid w:val="000324B7"/>
    <w:rsid w:val="000324C2"/>
    <w:rsid w:val="000325B5"/>
    <w:rsid w:val="0003261D"/>
    <w:rsid w:val="0003263C"/>
    <w:rsid w:val="000326A5"/>
    <w:rsid w:val="000326AE"/>
    <w:rsid w:val="0003272F"/>
    <w:rsid w:val="00032781"/>
    <w:rsid w:val="00032908"/>
    <w:rsid w:val="000329E8"/>
    <w:rsid w:val="00032E4C"/>
    <w:rsid w:val="00032EE2"/>
    <w:rsid w:val="000331AD"/>
    <w:rsid w:val="000336E0"/>
    <w:rsid w:val="00033761"/>
    <w:rsid w:val="00033815"/>
    <w:rsid w:val="000338CB"/>
    <w:rsid w:val="00033F4F"/>
    <w:rsid w:val="00033F5F"/>
    <w:rsid w:val="00033FE0"/>
    <w:rsid w:val="0003403A"/>
    <w:rsid w:val="00034171"/>
    <w:rsid w:val="00034247"/>
    <w:rsid w:val="00034375"/>
    <w:rsid w:val="0003437B"/>
    <w:rsid w:val="00034467"/>
    <w:rsid w:val="00034500"/>
    <w:rsid w:val="000347B8"/>
    <w:rsid w:val="000347F5"/>
    <w:rsid w:val="00034C71"/>
    <w:rsid w:val="00034D0D"/>
    <w:rsid w:val="00034DEF"/>
    <w:rsid w:val="00034E06"/>
    <w:rsid w:val="00034E8B"/>
    <w:rsid w:val="00035172"/>
    <w:rsid w:val="000352AE"/>
    <w:rsid w:val="000353D1"/>
    <w:rsid w:val="00035637"/>
    <w:rsid w:val="000356DF"/>
    <w:rsid w:val="00035744"/>
    <w:rsid w:val="000359EB"/>
    <w:rsid w:val="00035B4E"/>
    <w:rsid w:val="00035FEB"/>
    <w:rsid w:val="000363B9"/>
    <w:rsid w:val="00036455"/>
    <w:rsid w:val="00036466"/>
    <w:rsid w:val="000366F3"/>
    <w:rsid w:val="0003681C"/>
    <w:rsid w:val="00036828"/>
    <w:rsid w:val="000368EB"/>
    <w:rsid w:val="0003691F"/>
    <w:rsid w:val="0003692B"/>
    <w:rsid w:val="00036973"/>
    <w:rsid w:val="00036A44"/>
    <w:rsid w:val="00036B75"/>
    <w:rsid w:val="00037008"/>
    <w:rsid w:val="00037055"/>
    <w:rsid w:val="0003711B"/>
    <w:rsid w:val="00037210"/>
    <w:rsid w:val="000372F6"/>
    <w:rsid w:val="0003735B"/>
    <w:rsid w:val="00037490"/>
    <w:rsid w:val="00037644"/>
    <w:rsid w:val="0003767B"/>
    <w:rsid w:val="00037780"/>
    <w:rsid w:val="00037895"/>
    <w:rsid w:val="000379E3"/>
    <w:rsid w:val="00037A43"/>
    <w:rsid w:val="00037AEA"/>
    <w:rsid w:val="00037C6D"/>
    <w:rsid w:val="00037D30"/>
    <w:rsid w:val="00037E9A"/>
    <w:rsid w:val="000400C6"/>
    <w:rsid w:val="00040434"/>
    <w:rsid w:val="000404F0"/>
    <w:rsid w:val="00040594"/>
    <w:rsid w:val="000409AB"/>
    <w:rsid w:val="00040DCA"/>
    <w:rsid w:val="00040E32"/>
    <w:rsid w:val="00040E65"/>
    <w:rsid w:val="00041429"/>
    <w:rsid w:val="000416F3"/>
    <w:rsid w:val="00041870"/>
    <w:rsid w:val="00041A5B"/>
    <w:rsid w:val="00041E3D"/>
    <w:rsid w:val="00041E78"/>
    <w:rsid w:val="00041F19"/>
    <w:rsid w:val="00041FDC"/>
    <w:rsid w:val="00042435"/>
    <w:rsid w:val="000424F4"/>
    <w:rsid w:val="00042654"/>
    <w:rsid w:val="00042814"/>
    <w:rsid w:val="00042B61"/>
    <w:rsid w:val="00042D18"/>
    <w:rsid w:val="00042D6E"/>
    <w:rsid w:val="0004303E"/>
    <w:rsid w:val="0004344B"/>
    <w:rsid w:val="00043962"/>
    <w:rsid w:val="00043ABF"/>
    <w:rsid w:val="00043AC2"/>
    <w:rsid w:val="00043C28"/>
    <w:rsid w:val="000440FF"/>
    <w:rsid w:val="00044146"/>
    <w:rsid w:val="00044228"/>
    <w:rsid w:val="000442C7"/>
    <w:rsid w:val="000443C5"/>
    <w:rsid w:val="00044740"/>
    <w:rsid w:val="00044DCD"/>
    <w:rsid w:val="00045000"/>
    <w:rsid w:val="00045011"/>
    <w:rsid w:val="00045269"/>
    <w:rsid w:val="00045435"/>
    <w:rsid w:val="000454B0"/>
    <w:rsid w:val="0004564C"/>
    <w:rsid w:val="00045702"/>
    <w:rsid w:val="0004573D"/>
    <w:rsid w:val="000458FF"/>
    <w:rsid w:val="00045A05"/>
    <w:rsid w:val="00045A5C"/>
    <w:rsid w:val="00045B15"/>
    <w:rsid w:val="00045BE2"/>
    <w:rsid w:val="00045C4E"/>
    <w:rsid w:val="000461C6"/>
    <w:rsid w:val="000463F5"/>
    <w:rsid w:val="000465B4"/>
    <w:rsid w:val="000466CF"/>
    <w:rsid w:val="00046AAE"/>
    <w:rsid w:val="00046AD1"/>
    <w:rsid w:val="00046BA6"/>
    <w:rsid w:val="00046BAE"/>
    <w:rsid w:val="00046BE8"/>
    <w:rsid w:val="00046E54"/>
    <w:rsid w:val="00046E79"/>
    <w:rsid w:val="00046F43"/>
    <w:rsid w:val="00046FB3"/>
    <w:rsid w:val="00046FCF"/>
    <w:rsid w:val="000471F6"/>
    <w:rsid w:val="00047205"/>
    <w:rsid w:val="0004722C"/>
    <w:rsid w:val="00047963"/>
    <w:rsid w:val="000479BE"/>
    <w:rsid w:val="00047B07"/>
    <w:rsid w:val="00047B8A"/>
    <w:rsid w:val="00047D05"/>
    <w:rsid w:val="00047FA1"/>
    <w:rsid w:val="00050015"/>
    <w:rsid w:val="00050050"/>
    <w:rsid w:val="00050309"/>
    <w:rsid w:val="000504D5"/>
    <w:rsid w:val="0005087E"/>
    <w:rsid w:val="000508FA"/>
    <w:rsid w:val="0005095F"/>
    <w:rsid w:val="000509B7"/>
    <w:rsid w:val="00050B24"/>
    <w:rsid w:val="00050EE3"/>
    <w:rsid w:val="00050F7C"/>
    <w:rsid w:val="00051323"/>
    <w:rsid w:val="0005132B"/>
    <w:rsid w:val="0005132C"/>
    <w:rsid w:val="000513E2"/>
    <w:rsid w:val="0005170C"/>
    <w:rsid w:val="00051764"/>
    <w:rsid w:val="000519B8"/>
    <w:rsid w:val="00051B34"/>
    <w:rsid w:val="00051B5A"/>
    <w:rsid w:val="00051D73"/>
    <w:rsid w:val="00052076"/>
    <w:rsid w:val="00052403"/>
    <w:rsid w:val="0005250D"/>
    <w:rsid w:val="000525C9"/>
    <w:rsid w:val="000525DC"/>
    <w:rsid w:val="0005288F"/>
    <w:rsid w:val="000528AF"/>
    <w:rsid w:val="00052CD0"/>
    <w:rsid w:val="000539C0"/>
    <w:rsid w:val="00053B7F"/>
    <w:rsid w:val="00053F99"/>
    <w:rsid w:val="00054048"/>
    <w:rsid w:val="0005450E"/>
    <w:rsid w:val="0005456C"/>
    <w:rsid w:val="000545FB"/>
    <w:rsid w:val="00054773"/>
    <w:rsid w:val="00054809"/>
    <w:rsid w:val="000549FE"/>
    <w:rsid w:val="00054A6D"/>
    <w:rsid w:val="00054BD7"/>
    <w:rsid w:val="00054E05"/>
    <w:rsid w:val="00054F0D"/>
    <w:rsid w:val="0005543E"/>
    <w:rsid w:val="0005563A"/>
    <w:rsid w:val="00055757"/>
    <w:rsid w:val="00055949"/>
    <w:rsid w:val="00055BC7"/>
    <w:rsid w:val="00055D0C"/>
    <w:rsid w:val="00055D5F"/>
    <w:rsid w:val="0005608F"/>
    <w:rsid w:val="000560F5"/>
    <w:rsid w:val="00056114"/>
    <w:rsid w:val="00056302"/>
    <w:rsid w:val="00056474"/>
    <w:rsid w:val="000566FE"/>
    <w:rsid w:val="0005671E"/>
    <w:rsid w:val="000567FA"/>
    <w:rsid w:val="000569C7"/>
    <w:rsid w:val="00056C29"/>
    <w:rsid w:val="00056D19"/>
    <w:rsid w:val="00056DAE"/>
    <w:rsid w:val="00056DD0"/>
    <w:rsid w:val="00056E8B"/>
    <w:rsid w:val="00056F94"/>
    <w:rsid w:val="00057045"/>
    <w:rsid w:val="000571A7"/>
    <w:rsid w:val="000571E6"/>
    <w:rsid w:val="000571F7"/>
    <w:rsid w:val="00057380"/>
    <w:rsid w:val="000574CA"/>
    <w:rsid w:val="000574FE"/>
    <w:rsid w:val="00057684"/>
    <w:rsid w:val="00057818"/>
    <w:rsid w:val="000578CD"/>
    <w:rsid w:val="0005794D"/>
    <w:rsid w:val="000579D0"/>
    <w:rsid w:val="00057AAE"/>
    <w:rsid w:val="00057B7F"/>
    <w:rsid w:val="00057BC6"/>
    <w:rsid w:val="00057C5A"/>
    <w:rsid w:val="00057D01"/>
    <w:rsid w:val="00057D47"/>
    <w:rsid w:val="000601A7"/>
    <w:rsid w:val="000602B0"/>
    <w:rsid w:val="000602CA"/>
    <w:rsid w:val="00060404"/>
    <w:rsid w:val="00060485"/>
    <w:rsid w:val="00060573"/>
    <w:rsid w:val="000608AA"/>
    <w:rsid w:val="00060EE3"/>
    <w:rsid w:val="00061028"/>
    <w:rsid w:val="00061381"/>
    <w:rsid w:val="00061605"/>
    <w:rsid w:val="0006160F"/>
    <w:rsid w:val="00061669"/>
    <w:rsid w:val="00061683"/>
    <w:rsid w:val="0006188A"/>
    <w:rsid w:val="00061A5E"/>
    <w:rsid w:val="00061B98"/>
    <w:rsid w:val="00061D66"/>
    <w:rsid w:val="00061E3B"/>
    <w:rsid w:val="0006210E"/>
    <w:rsid w:val="00062142"/>
    <w:rsid w:val="00062177"/>
    <w:rsid w:val="0006233C"/>
    <w:rsid w:val="000627C3"/>
    <w:rsid w:val="00062F1B"/>
    <w:rsid w:val="00063133"/>
    <w:rsid w:val="0006317E"/>
    <w:rsid w:val="0006336B"/>
    <w:rsid w:val="0006341A"/>
    <w:rsid w:val="00063507"/>
    <w:rsid w:val="00063589"/>
    <w:rsid w:val="00063774"/>
    <w:rsid w:val="0006395C"/>
    <w:rsid w:val="00063A5E"/>
    <w:rsid w:val="00063AC7"/>
    <w:rsid w:val="00063B80"/>
    <w:rsid w:val="00063C11"/>
    <w:rsid w:val="00063C96"/>
    <w:rsid w:val="00063D12"/>
    <w:rsid w:val="00063D62"/>
    <w:rsid w:val="00063DEF"/>
    <w:rsid w:val="00063E0F"/>
    <w:rsid w:val="00063EBD"/>
    <w:rsid w:val="00063F3D"/>
    <w:rsid w:val="00064080"/>
    <w:rsid w:val="000642D5"/>
    <w:rsid w:val="0006435B"/>
    <w:rsid w:val="000644FB"/>
    <w:rsid w:val="0006456A"/>
    <w:rsid w:val="000645B6"/>
    <w:rsid w:val="0006470A"/>
    <w:rsid w:val="00064724"/>
    <w:rsid w:val="000647E8"/>
    <w:rsid w:val="000647F0"/>
    <w:rsid w:val="00064BA3"/>
    <w:rsid w:val="00064C78"/>
    <w:rsid w:val="00064C88"/>
    <w:rsid w:val="00064EA6"/>
    <w:rsid w:val="0006520A"/>
    <w:rsid w:val="00065357"/>
    <w:rsid w:val="000653F6"/>
    <w:rsid w:val="0006557E"/>
    <w:rsid w:val="000656C7"/>
    <w:rsid w:val="00065874"/>
    <w:rsid w:val="000659AC"/>
    <w:rsid w:val="00065AD9"/>
    <w:rsid w:val="00065B91"/>
    <w:rsid w:val="00065BAB"/>
    <w:rsid w:val="00065D61"/>
    <w:rsid w:val="00065E13"/>
    <w:rsid w:val="0006610D"/>
    <w:rsid w:val="000661B1"/>
    <w:rsid w:val="000661D5"/>
    <w:rsid w:val="00066395"/>
    <w:rsid w:val="0006639A"/>
    <w:rsid w:val="00066828"/>
    <w:rsid w:val="00066A32"/>
    <w:rsid w:val="00066B35"/>
    <w:rsid w:val="00066BA2"/>
    <w:rsid w:val="00066BE8"/>
    <w:rsid w:val="00066D9F"/>
    <w:rsid w:val="00066F58"/>
    <w:rsid w:val="00067008"/>
    <w:rsid w:val="00067066"/>
    <w:rsid w:val="0006727A"/>
    <w:rsid w:val="000672E3"/>
    <w:rsid w:val="0006736C"/>
    <w:rsid w:val="000675A0"/>
    <w:rsid w:val="00067702"/>
    <w:rsid w:val="000677A1"/>
    <w:rsid w:val="00067C46"/>
    <w:rsid w:val="00067CD8"/>
    <w:rsid w:val="00067D98"/>
    <w:rsid w:val="00067DF8"/>
    <w:rsid w:val="00070886"/>
    <w:rsid w:val="000709AF"/>
    <w:rsid w:val="00070AF2"/>
    <w:rsid w:val="00070C1D"/>
    <w:rsid w:val="000710A0"/>
    <w:rsid w:val="000711BA"/>
    <w:rsid w:val="000713FF"/>
    <w:rsid w:val="000714CB"/>
    <w:rsid w:val="000715CC"/>
    <w:rsid w:val="00071A6B"/>
    <w:rsid w:val="00071CDE"/>
    <w:rsid w:val="00071ED9"/>
    <w:rsid w:val="0007200C"/>
    <w:rsid w:val="000721E4"/>
    <w:rsid w:val="0007221A"/>
    <w:rsid w:val="00072374"/>
    <w:rsid w:val="00072687"/>
    <w:rsid w:val="00072727"/>
    <w:rsid w:val="00072768"/>
    <w:rsid w:val="00072988"/>
    <w:rsid w:val="0007298A"/>
    <w:rsid w:val="000729E1"/>
    <w:rsid w:val="000729F6"/>
    <w:rsid w:val="00072ABC"/>
    <w:rsid w:val="00072C8B"/>
    <w:rsid w:val="00072E62"/>
    <w:rsid w:val="00072E70"/>
    <w:rsid w:val="00072EC9"/>
    <w:rsid w:val="00072F8B"/>
    <w:rsid w:val="00072F9D"/>
    <w:rsid w:val="00072FDB"/>
    <w:rsid w:val="00073221"/>
    <w:rsid w:val="0007325C"/>
    <w:rsid w:val="000737F8"/>
    <w:rsid w:val="00073876"/>
    <w:rsid w:val="0007393E"/>
    <w:rsid w:val="00073C8F"/>
    <w:rsid w:val="00073CA1"/>
    <w:rsid w:val="00073F1A"/>
    <w:rsid w:val="00073F6D"/>
    <w:rsid w:val="00073FF3"/>
    <w:rsid w:val="00074132"/>
    <w:rsid w:val="00074134"/>
    <w:rsid w:val="000741B4"/>
    <w:rsid w:val="00074384"/>
    <w:rsid w:val="00074404"/>
    <w:rsid w:val="00074418"/>
    <w:rsid w:val="0007443B"/>
    <w:rsid w:val="0007445D"/>
    <w:rsid w:val="000744F9"/>
    <w:rsid w:val="000745CC"/>
    <w:rsid w:val="000746A0"/>
    <w:rsid w:val="00074B15"/>
    <w:rsid w:val="00074B31"/>
    <w:rsid w:val="00074B4C"/>
    <w:rsid w:val="000750ED"/>
    <w:rsid w:val="00075297"/>
    <w:rsid w:val="00075377"/>
    <w:rsid w:val="000753EE"/>
    <w:rsid w:val="0007540E"/>
    <w:rsid w:val="00075415"/>
    <w:rsid w:val="0007552D"/>
    <w:rsid w:val="000755DE"/>
    <w:rsid w:val="000757F0"/>
    <w:rsid w:val="00075839"/>
    <w:rsid w:val="0007590B"/>
    <w:rsid w:val="00075A4F"/>
    <w:rsid w:val="00075B6F"/>
    <w:rsid w:val="00075CEF"/>
    <w:rsid w:val="00075D50"/>
    <w:rsid w:val="00076195"/>
    <w:rsid w:val="00076514"/>
    <w:rsid w:val="00076691"/>
    <w:rsid w:val="000766E0"/>
    <w:rsid w:val="0007693E"/>
    <w:rsid w:val="00076BC4"/>
    <w:rsid w:val="00076CE8"/>
    <w:rsid w:val="00077140"/>
    <w:rsid w:val="00077512"/>
    <w:rsid w:val="0007759B"/>
    <w:rsid w:val="0007779D"/>
    <w:rsid w:val="00077A05"/>
    <w:rsid w:val="00077AAF"/>
    <w:rsid w:val="00077B77"/>
    <w:rsid w:val="00077C39"/>
    <w:rsid w:val="00077D8E"/>
    <w:rsid w:val="00077F25"/>
    <w:rsid w:val="00080201"/>
    <w:rsid w:val="000804F8"/>
    <w:rsid w:val="00080531"/>
    <w:rsid w:val="000805BC"/>
    <w:rsid w:val="00080678"/>
    <w:rsid w:val="00080918"/>
    <w:rsid w:val="0008095F"/>
    <w:rsid w:val="00080A57"/>
    <w:rsid w:val="00080B04"/>
    <w:rsid w:val="00080B7B"/>
    <w:rsid w:val="00080BF6"/>
    <w:rsid w:val="00080CD0"/>
    <w:rsid w:val="00080D69"/>
    <w:rsid w:val="00080D73"/>
    <w:rsid w:val="00080DC1"/>
    <w:rsid w:val="00080F51"/>
    <w:rsid w:val="00080F74"/>
    <w:rsid w:val="0008118C"/>
    <w:rsid w:val="00081369"/>
    <w:rsid w:val="00081E24"/>
    <w:rsid w:val="00081E6F"/>
    <w:rsid w:val="00081F0C"/>
    <w:rsid w:val="00081F40"/>
    <w:rsid w:val="00081F46"/>
    <w:rsid w:val="00081FD7"/>
    <w:rsid w:val="00082261"/>
    <w:rsid w:val="000824FA"/>
    <w:rsid w:val="0008283C"/>
    <w:rsid w:val="0008283D"/>
    <w:rsid w:val="00082C65"/>
    <w:rsid w:val="00082D5A"/>
    <w:rsid w:val="00082FFA"/>
    <w:rsid w:val="00083485"/>
    <w:rsid w:val="000835D7"/>
    <w:rsid w:val="000839F7"/>
    <w:rsid w:val="00084081"/>
    <w:rsid w:val="0008413F"/>
    <w:rsid w:val="000841D8"/>
    <w:rsid w:val="000842BB"/>
    <w:rsid w:val="00084482"/>
    <w:rsid w:val="00084527"/>
    <w:rsid w:val="000849B4"/>
    <w:rsid w:val="00084F0F"/>
    <w:rsid w:val="00085314"/>
    <w:rsid w:val="00085335"/>
    <w:rsid w:val="000858E4"/>
    <w:rsid w:val="00085AA4"/>
    <w:rsid w:val="00085B57"/>
    <w:rsid w:val="00085C93"/>
    <w:rsid w:val="00085FBA"/>
    <w:rsid w:val="000861EA"/>
    <w:rsid w:val="00086319"/>
    <w:rsid w:val="00086332"/>
    <w:rsid w:val="000863DF"/>
    <w:rsid w:val="0008640F"/>
    <w:rsid w:val="000865B9"/>
    <w:rsid w:val="00086663"/>
    <w:rsid w:val="00086853"/>
    <w:rsid w:val="00086932"/>
    <w:rsid w:val="00086947"/>
    <w:rsid w:val="00086AA6"/>
    <w:rsid w:val="00086BB8"/>
    <w:rsid w:val="00086C2D"/>
    <w:rsid w:val="00086C82"/>
    <w:rsid w:val="00086CD6"/>
    <w:rsid w:val="00086CE8"/>
    <w:rsid w:val="0008708C"/>
    <w:rsid w:val="000872CC"/>
    <w:rsid w:val="0008740A"/>
    <w:rsid w:val="0008741E"/>
    <w:rsid w:val="00087751"/>
    <w:rsid w:val="00087919"/>
    <w:rsid w:val="00087924"/>
    <w:rsid w:val="00087D59"/>
    <w:rsid w:val="00087FA9"/>
    <w:rsid w:val="00090197"/>
    <w:rsid w:val="0009022C"/>
    <w:rsid w:val="000904BC"/>
    <w:rsid w:val="000905B8"/>
    <w:rsid w:val="00090939"/>
    <w:rsid w:val="0009095E"/>
    <w:rsid w:val="00090AA6"/>
    <w:rsid w:val="00090B1F"/>
    <w:rsid w:val="00090D2D"/>
    <w:rsid w:val="00090D8B"/>
    <w:rsid w:val="00090E95"/>
    <w:rsid w:val="0009100C"/>
    <w:rsid w:val="00091050"/>
    <w:rsid w:val="00091199"/>
    <w:rsid w:val="00091201"/>
    <w:rsid w:val="0009120F"/>
    <w:rsid w:val="00091439"/>
    <w:rsid w:val="0009151E"/>
    <w:rsid w:val="0009167F"/>
    <w:rsid w:val="0009170C"/>
    <w:rsid w:val="00091A74"/>
    <w:rsid w:val="00091F15"/>
    <w:rsid w:val="00091F64"/>
    <w:rsid w:val="00092014"/>
    <w:rsid w:val="0009219E"/>
    <w:rsid w:val="000921B1"/>
    <w:rsid w:val="00092317"/>
    <w:rsid w:val="000924E3"/>
    <w:rsid w:val="00092707"/>
    <w:rsid w:val="00092A7D"/>
    <w:rsid w:val="00092AD0"/>
    <w:rsid w:val="00092B96"/>
    <w:rsid w:val="00092C97"/>
    <w:rsid w:val="00092E05"/>
    <w:rsid w:val="00092EAF"/>
    <w:rsid w:val="00092ED7"/>
    <w:rsid w:val="00093307"/>
    <w:rsid w:val="00093478"/>
    <w:rsid w:val="000937EC"/>
    <w:rsid w:val="0009387C"/>
    <w:rsid w:val="00093932"/>
    <w:rsid w:val="00093B1B"/>
    <w:rsid w:val="00093BD8"/>
    <w:rsid w:val="00093C6A"/>
    <w:rsid w:val="00094372"/>
    <w:rsid w:val="000943AE"/>
    <w:rsid w:val="0009446D"/>
    <w:rsid w:val="000944DF"/>
    <w:rsid w:val="00094562"/>
    <w:rsid w:val="0009469A"/>
    <w:rsid w:val="000947FC"/>
    <w:rsid w:val="00094BCC"/>
    <w:rsid w:val="00094D78"/>
    <w:rsid w:val="00094E01"/>
    <w:rsid w:val="00094E2B"/>
    <w:rsid w:val="0009505E"/>
    <w:rsid w:val="00095351"/>
    <w:rsid w:val="00095391"/>
    <w:rsid w:val="000954C5"/>
    <w:rsid w:val="00095696"/>
    <w:rsid w:val="000956A3"/>
    <w:rsid w:val="0009593F"/>
    <w:rsid w:val="00095BDD"/>
    <w:rsid w:val="00095D46"/>
    <w:rsid w:val="00095E18"/>
    <w:rsid w:val="00095EFE"/>
    <w:rsid w:val="00095F53"/>
    <w:rsid w:val="00095F81"/>
    <w:rsid w:val="000960A9"/>
    <w:rsid w:val="000960EF"/>
    <w:rsid w:val="0009610B"/>
    <w:rsid w:val="000961BC"/>
    <w:rsid w:val="000961CF"/>
    <w:rsid w:val="00096355"/>
    <w:rsid w:val="000963BC"/>
    <w:rsid w:val="00096400"/>
    <w:rsid w:val="00096420"/>
    <w:rsid w:val="0009665A"/>
    <w:rsid w:val="00096683"/>
    <w:rsid w:val="00096777"/>
    <w:rsid w:val="000967A8"/>
    <w:rsid w:val="0009681E"/>
    <w:rsid w:val="000969D1"/>
    <w:rsid w:val="00096A7D"/>
    <w:rsid w:val="00096BD6"/>
    <w:rsid w:val="00096DBA"/>
    <w:rsid w:val="00096E59"/>
    <w:rsid w:val="00096F2F"/>
    <w:rsid w:val="00096F42"/>
    <w:rsid w:val="0009704D"/>
    <w:rsid w:val="00097348"/>
    <w:rsid w:val="000974FB"/>
    <w:rsid w:val="000975DD"/>
    <w:rsid w:val="0009795A"/>
    <w:rsid w:val="00097962"/>
    <w:rsid w:val="00097C47"/>
    <w:rsid w:val="00097E4D"/>
    <w:rsid w:val="000A0066"/>
    <w:rsid w:val="000A00DA"/>
    <w:rsid w:val="000A015E"/>
    <w:rsid w:val="000A0272"/>
    <w:rsid w:val="000A0457"/>
    <w:rsid w:val="000A0485"/>
    <w:rsid w:val="000A04B7"/>
    <w:rsid w:val="000A0501"/>
    <w:rsid w:val="000A0540"/>
    <w:rsid w:val="000A0681"/>
    <w:rsid w:val="000A08AB"/>
    <w:rsid w:val="000A0A82"/>
    <w:rsid w:val="000A0AF8"/>
    <w:rsid w:val="000A0BA0"/>
    <w:rsid w:val="000A0BD1"/>
    <w:rsid w:val="000A0FAF"/>
    <w:rsid w:val="000A1035"/>
    <w:rsid w:val="000A1040"/>
    <w:rsid w:val="000A1061"/>
    <w:rsid w:val="000A12FF"/>
    <w:rsid w:val="000A154D"/>
    <w:rsid w:val="000A1674"/>
    <w:rsid w:val="000A16B9"/>
    <w:rsid w:val="000A1B43"/>
    <w:rsid w:val="000A1B90"/>
    <w:rsid w:val="000A1BC6"/>
    <w:rsid w:val="000A1DAB"/>
    <w:rsid w:val="000A1F75"/>
    <w:rsid w:val="000A20B5"/>
    <w:rsid w:val="000A20F3"/>
    <w:rsid w:val="000A22E9"/>
    <w:rsid w:val="000A2308"/>
    <w:rsid w:val="000A2354"/>
    <w:rsid w:val="000A2572"/>
    <w:rsid w:val="000A25C8"/>
    <w:rsid w:val="000A27F6"/>
    <w:rsid w:val="000A2830"/>
    <w:rsid w:val="000A2864"/>
    <w:rsid w:val="000A2AE7"/>
    <w:rsid w:val="000A2C15"/>
    <w:rsid w:val="000A2C9B"/>
    <w:rsid w:val="000A2E38"/>
    <w:rsid w:val="000A2F9A"/>
    <w:rsid w:val="000A3219"/>
    <w:rsid w:val="000A3439"/>
    <w:rsid w:val="000A364C"/>
    <w:rsid w:val="000A383D"/>
    <w:rsid w:val="000A39A5"/>
    <w:rsid w:val="000A39FE"/>
    <w:rsid w:val="000A3C2F"/>
    <w:rsid w:val="000A3D14"/>
    <w:rsid w:val="000A3E59"/>
    <w:rsid w:val="000A3F1C"/>
    <w:rsid w:val="000A404E"/>
    <w:rsid w:val="000A40F6"/>
    <w:rsid w:val="000A411B"/>
    <w:rsid w:val="000A432A"/>
    <w:rsid w:val="000A4754"/>
    <w:rsid w:val="000A482D"/>
    <w:rsid w:val="000A483C"/>
    <w:rsid w:val="000A4B2F"/>
    <w:rsid w:val="000A4B6C"/>
    <w:rsid w:val="000A4CF4"/>
    <w:rsid w:val="000A507E"/>
    <w:rsid w:val="000A513F"/>
    <w:rsid w:val="000A5226"/>
    <w:rsid w:val="000A53C6"/>
    <w:rsid w:val="000A53F2"/>
    <w:rsid w:val="000A568B"/>
    <w:rsid w:val="000A56C6"/>
    <w:rsid w:val="000A5913"/>
    <w:rsid w:val="000A59A8"/>
    <w:rsid w:val="000A5B9E"/>
    <w:rsid w:val="000A5BC2"/>
    <w:rsid w:val="000A5BED"/>
    <w:rsid w:val="000A5CCE"/>
    <w:rsid w:val="000A5DA4"/>
    <w:rsid w:val="000A5F62"/>
    <w:rsid w:val="000A60E3"/>
    <w:rsid w:val="000A62B1"/>
    <w:rsid w:val="000A639F"/>
    <w:rsid w:val="000A66E9"/>
    <w:rsid w:val="000A67D3"/>
    <w:rsid w:val="000A69C7"/>
    <w:rsid w:val="000A69FA"/>
    <w:rsid w:val="000A6A6B"/>
    <w:rsid w:val="000A6B92"/>
    <w:rsid w:val="000A6BB3"/>
    <w:rsid w:val="000A6BD9"/>
    <w:rsid w:val="000A6BFF"/>
    <w:rsid w:val="000A6C88"/>
    <w:rsid w:val="000A6CBE"/>
    <w:rsid w:val="000A6DAC"/>
    <w:rsid w:val="000A6E12"/>
    <w:rsid w:val="000A6E23"/>
    <w:rsid w:val="000A7069"/>
    <w:rsid w:val="000A7235"/>
    <w:rsid w:val="000A7273"/>
    <w:rsid w:val="000A73EC"/>
    <w:rsid w:val="000A76E6"/>
    <w:rsid w:val="000A7780"/>
    <w:rsid w:val="000A77A8"/>
    <w:rsid w:val="000A7943"/>
    <w:rsid w:val="000A7A33"/>
    <w:rsid w:val="000A7C23"/>
    <w:rsid w:val="000A7C25"/>
    <w:rsid w:val="000A7C71"/>
    <w:rsid w:val="000A7CE4"/>
    <w:rsid w:val="000A7FC6"/>
    <w:rsid w:val="000B02AE"/>
    <w:rsid w:val="000B049D"/>
    <w:rsid w:val="000B04F0"/>
    <w:rsid w:val="000B0638"/>
    <w:rsid w:val="000B0763"/>
    <w:rsid w:val="000B0877"/>
    <w:rsid w:val="000B08C5"/>
    <w:rsid w:val="000B09C3"/>
    <w:rsid w:val="000B09DA"/>
    <w:rsid w:val="000B0CCE"/>
    <w:rsid w:val="000B0D3B"/>
    <w:rsid w:val="000B0DCF"/>
    <w:rsid w:val="000B0DE4"/>
    <w:rsid w:val="000B0E19"/>
    <w:rsid w:val="000B0EA5"/>
    <w:rsid w:val="000B0EF3"/>
    <w:rsid w:val="000B10CD"/>
    <w:rsid w:val="000B1104"/>
    <w:rsid w:val="000B1190"/>
    <w:rsid w:val="000B1293"/>
    <w:rsid w:val="000B1308"/>
    <w:rsid w:val="000B13F1"/>
    <w:rsid w:val="000B1601"/>
    <w:rsid w:val="000B1649"/>
    <w:rsid w:val="000B1675"/>
    <w:rsid w:val="000B17DC"/>
    <w:rsid w:val="000B1A46"/>
    <w:rsid w:val="000B1B97"/>
    <w:rsid w:val="000B1DE3"/>
    <w:rsid w:val="000B204D"/>
    <w:rsid w:val="000B212F"/>
    <w:rsid w:val="000B218C"/>
    <w:rsid w:val="000B21A3"/>
    <w:rsid w:val="000B2209"/>
    <w:rsid w:val="000B2241"/>
    <w:rsid w:val="000B2251"/>
    <w:rsid w:val="000B22A9"/>
    <w:rsid w:val="000B23F1"/>
    <w:rsid w:val="000B259F"/>
    <w:rsid w:val="000B25C7"/>
    <w:rsid w:val="000B26B2"/>
    <w:rsid w:val="000B2B26"/>
    <w:rsid w:val="000B2BFA"/>
    <w:rsid w:val="000B2C60"/>
    <w:rsid w:val="000B2C92"/>
    <w:rsid w:val="000B2D9B"/>
    <w:rsid w:val="000B2E85"/>
    <w:rsid w:val="000B30BD"/>
    <w:rsid w:val="000B3243"/>
    <w:rsid w:val="000B32F8"/>
    <w:rsid w:val="000B33E5"/>
    <w:rsid w:val="000B37E7"/>
    <w:rsid w:val="000B387A"/>
    <w:rsid w:val="000B394B"/>
    <w:rsid w:val="000B3CD5"/>
    <w:rsid w:val="000B3EC1"/>
    <w:rsid w:val="000B3FA0"/>
    <w:rsid w:val="000B4361"/>
    <w:rsid w:val="000B4557"/>
    <w:rsid w:val="000B4651"/>
    <w:rsid w:val="000B478C"/>
    <w:rsid w:val="000B4934"/>
    <w:rsid w:val="000B4D84"/>
    <w:rsid w:val="000B4E21"/>
    <w:rsid w:val="000B4E76"/>
    <w:rsid w:val="000B4FB6"/>
    <w:rsid w:val="000B51FC"/>
    <w:rsid w:val="000B5295"/>
    <w:rsid w:val="000B53A2"/>
    <w:rsid w:val="000B55F6"/>
    <w:rsid w:val="000B5675"/>
    <w:rsid w:val="000B578A"/>
    <w:rsid w:val="000B585B"/>
    <w:rsid w:val="000B5A4D"/>
    <w:rsid w:val="000B5A58"/>
    <w:rsid w:val="000B5AE9"/>
    <w:rsid w:val="000B5C29"/>
    <w:rsid w:val="000B5C4A"/>
    <w:rsid w:val="000B6613"/>
    <w:rsid w:val="000B68BA"/>
    <w:rsid w:val="000B68ED"/>
    <w:rsid w:val="000B69B2"/>
    <w:rsid w:val="000B6A64"/>
    <w:rsid w:val="000B6AC8"/>
    <w:rsid w:val="000B6B2D"/>
    <w:rsid w:val="000B6F53"/>
    <w:rsid w:val="000B71EA"/>
    <w:rsid w:val="000B71FA"/>
    <w:rsid w:val="000B74F6"/>
    <w:rsid w:val="000B7679"/>
    <w:rsid w:val="000B7681"/>
    <w:rsid w:val="000B7725"/>
    <w:rsid w:val="000B7811"/>
    <w:rsid w:val="000B7CC4"/>
    <w:rsid w:val="000B7E15"/>
    <w:rsid w:val="000B7F0F"/>
    <w:rsid w:val="000B7F50"/>
    <w:rsid w:val="000C017C"/>
    <w:rsid w:val="000C02A6"/>
    <w:rsid w:val="000C04BB"/>
    <w:rsid w:val="000C053D"/>
    <w:rsid w:val="000C05D2"/>
    <w:rsid w:val="000C0646"/>
    <w:rsid w:val="000C07B3"/>
    <w:rsid w:val="000C09BF"/>
    <w:rsid w:val="000C0FD9"/>
    <w:rsid w:val="000C0FE6"/>
    <w:rsid w:val="000C1046"/>
    <w:rsid w:val="000C1191"/>
    <w:rsid w:val="000C124A"/>
    <w:rsid w:val="000C128C"/>
    <w:rsid w:val="000C14F5"/>
    <w:rsid w:val="000C1620"/>
    <w:rsid w:val="000C1827"/>
    <w:rsid w:val="000C18B1"/>
    <w:rsid w:val="000C1C60"/>
    <w:rsid w:val="000C1D4B"/>
    <w:rsid w:val="000C1FFB"/>
    <w:rsid w:val="000C215D"/>
    <w:rsid w:val="000C2403"/>
    <w:rsid w:val="000C242D"/>
    <w:rsid w:val="000C25AF"/>
    <w:rsid w:val="000C25BD"/>
    <w:rsid w:val="000C2619"/>
    <w:rsid w:val="000C2749"/>
    <w:rsid w:val="000C2776"/>
    <w:rsid w:val="000C27E5"/>
    <w:rsid w:val="000C2874"/>
    <w:rsid w:val="000C2C9E"/>
    <w:rsid w:val="000C2E74"/>
    <w:rsid w:val="000C335E"/>
    <w:rsid w:val="000C341D"/>
    <w:rsid w:val="000C3A5E"/>
    <w:rsid w:val="000C3B69"/>
    <w:rsid w:val="000C3CD2"/>
    <w:rsid w:val="000C40ED"/>
    <w:rsid w:val="000C418E"/>
    <w:rsid w:val="000C41B6"/>
    <w:rsid w:val="000C41F0"/>
    <w:rsid w:val="000C4228"/>
    <w:rsid w:val="000C47BC"/>
    <w:rsid w:val="000C4969"/>
    <w:rsid w:val="000C49E4"/>
    <w:rsid w:val="000C4A75"/>
    <w:rsid w:val="000C4B6F"/>
    <w:rsid w:val="000C4E93"/>
    <w:rsid w:val="000C4EC3"/>
    <w:rsid w:val="000C5072"/>
    <w:rsid w:val="000C5149"/>
    <w:rsid w:val="000C521A"/>
    <w:rsid w:val="000C5328"/>
    <w:rsid w:val="000C532E"/>
    <w:rsid w:val="000C5432"/>
    <w:rsid w:val="000C54B3"/>
    <w:rsid w:val="000C55E7"/>
    <w:rsid w:val="000C5739"/>
    <w:rsid w:val="000C5882"/>
    <w:rsid w:val="000C598D"/>
    <w:rsid w:val="000C5A4B"/>
    <w:rsid w:val="000C5D83"/>
    <w:rsid w:val="000C5F5E"/>
    <w:rsid w:val="000C63F7"/>
    <w:rsid w:val="000C65B7"/>
    <w:rsid w:val="000C65EB"/>
    <w:rsid w:val="000C6773"/>
    <w:rsid w:val="000C730D"/>
    <w:rsid w:val="000C73CA"/>
    <w:rsid w:val="000C75C7"/>
    <w:rsid w:val="000C7643"/>
    <w:rsid w:val="000C7766"/>
    <w:rsid w:val="000C79CE"/>
    <w:rsid w:val="000C7A2D"/>
    <w:rsid w:val="000C7B76"/>
    <w:rsid w:val="000C7C0E"/>
    <w:rsid w:val="000C7C52"/>
    <w:rsid w:val="000C7F69"/>
    <w:rsid w:val="000D0022"/>
    <w:rsid w:val="000D0257"/>
    <w:rsid w:val="000D0432"/>
    <w:rsid w:val="000D07E8"/>
    <w:rsid w:val="000D08AE"/>
    <w:rsid w:val="000D0983"/>
    <w:rsid w:val="000D09EC"/>
    <w:rsid w:val="000D0A8D"/>
    <w:rsid w:val="000D0C38"/>
    <w:rsid w:val="000D10DD"/>
    <w:rsid w:val="000D12A3"/>
    <w:rsid w:val="000D1509"/>
    <w:rsid w:val="000D15F2"/>
    <w:rsid w:val="000D198E"/>
    <w:rsid w:val="000D19BD"/>
    <w:rsid w:val="000D1AD4"/>
    <w:rsid w:val="000D1D37"/>
    <w:rsid w:val="000D1DC7"/>
    <w:rsid w:val="000D1E66"/>
    <w:rsid w:val="000D228E"/>
    <w:rsid w:val="000D231C"/>
    <w:rsid w:val="000D23C7"/>
    <w:rsid w:val="000D23CA"/>
    <w:rsid w:val="000D251E"/>
    <w:rsid w:val="000D2756"/>
    <w:rsid w:val="000D2824"/>
    <w:rsid w:val="000D2BF6"/>
    <w:rsid w:val="000D2CBF"/>
    <w:rsid w:val="000D2ED5"/>
    <w:rsid w:val="000D2F37"/>
    <w:rsid w:val="000D2F79"/>
    <w:rsid w:val="000D31A9"/>
    <w:rsid w:val="000D341C"/>
    <w:rsid w:val="000D3699"/>
    <w:rsid w:val="000D3730"/>
    <w:rsid w:val="000D3945"/>
    <w:rsid w:val="000D3A39"/>
    <w:rsid w:val="000D3B3B"/>
    <w:rsid w:val="000D3BDC"/>
    <w:rsid w:val="000D3C30"/>
    <w:rsid w:val="000D3D3A"/>
    <w:rsid w:val="000D3F76"/>
    <w:rsid w:val="000D4039"/>
    <w:rsid w:val="000D403A"/>
    <w:rsid w:val="000D4241"/>
    <w:rsid w:val="000D44D0"/>
    <w:rsid w:val="000D4617"/>
    <w:rsid w:val="000D48EF"/>
    <w:rsid w:val="000D49D3"/>
    <w:rsid w:val="000D4BC2"/>
    <w:rsid w:val="000D4CED"/>
    <w:rsid w:val="000D4D3A"/>
    <w:rsid w:val="000D5058"/>
    <w:rsid w:val="000D5509"/>
    <w:rsid w:val="000D557E"/>
    <w:rsid w:val="000D5875"/>
    <w:rsid w:val="000D5A0F"/>
    <w:rsid w:val="000D5A56"/>
    <w:rsid w:val="000D5C6B"/>
    <w:rsid w:val="000D5DD7"/>
    <w:rsid w:val="000D61A4"/>
    <w:rsid w:val="000D6461"/>
    <w:rsid w:val="000D64AF"/>
    <w:rsid w:val="000D67C4"/>
    <w:rsid w:val="000D6CA8"/>
    <w:rsid w:val="000D72ED"/>
    <w:rsid w:val="000D7660"/>
    <w:rsid w:val="000D77A5"/>
    <w:rsid w:val="000D792C"/>
    <w:rsid w:val="000D7BD4"/>
    <w:rsid w:val="000D7C7F"/>
    <w:rsid w:val="000D7D21"/>
    <w:rsid w:val="000D7DB4"/>
    <w:rsid w:val="000E0099"/>
    <w:rsid w:val="000E0587"/>
    <w:rsid w:val="000E0714"/>
    <w:rsid w:val="000E0A72"/>
    <w:rsid w:val="000E0B1C"/>
    <w:rsid w:val="000E0FE4"/>
    <w:rsid w:val="000E1286"/>
    <w:rsid w:val="000E14E6"/>
    <w:rsid w:val="000E156A"/>
    <w:rsid w:val="000E1575"/>
    <w:rsid w:val="000E17C3"/>
    <w:rsid w:val="000E1C5D"/>
    <w:rsid w:val="000E2004"/>
    <w:rsid w:val="000E2251"/>
    <w:rsid w:val="000E2324"/>
    <w:rsid w:val="000E249B"/>
    <w:rsid w:val="000E271B"/>
    <w:rsid w:val="000E2856"/>
    <w:rsid w:val="000E28CC"/>
    <w:rsid w:val="000E29DE"/>
    <w:rsid w:val="000E2B89"/>
    <w:rsid w:val="000E2BC8"/>
    <w:rsid w:val="000E2D00"/>
    <w:rsid w:val="000E2EB8"/>
    <w:rsid w:val="000E2FAD"/>
    <w:rsid w:val="000E32B2"/>
    <w:rsid w:val="000E3311"/>
    <w:rsid w:val="000E358D"/>
    <w:rsid w:val="000E36DE"/>
    <w:rsid w:val="000E38F0"/>
    <w:rsid w:val="000E3F0A"/>
    <w:rsid w:val="000E3F2C"/>
    <w:rsid w:val="000E3FEF"/>
    <w:rsid w:val="000E4036"/>
    <w:rsid w:val="000E4220"/>
    <w:rsid w:val="000E422C"/>
    <w:rsid w:val="000E4DB9"/>
    <w:rsid w:val="000E4DCB"/>
    <w:rsid w:val="000E5024"/>
    <w:rsid w:val="000E5026"/>
    <w:rsid w:val="000E50CA"/>
    <w:rsid w:val="000E50F4"/>
    <w:rsid w:val="000E5111"/>
    <w:rsid w:val="000E557B"/>
    <w:rsid w:val="000E55C7"/>
    <w:rsid w:val="000E55F4"/>
    <w:rsid w:val="000E5655"/>
    <w:rsid w:val="000E5666"/>
    <w:rsid w:val="000E574B"/>
    <w:rsid w:val="000E57D2"/>
    <w:rsid w:val="000E57D6"/>
    <w:rsid w:val="000E5939"/>
    <w:rsid w:val="000E5BEA"/>
    <w:rsid w:val="000E5E55"/>
    <w:rsid w:val="000E5F9F"/>
    <w:rsid w:val="000E6138"/>
    <w:rsid w:val="000E64C7"/>
    <w:rsid w:val="000E666A"/>
    <w:rsid w:val="000E66C0"/>
    <w:rsid w:val="000E69FB"/>
    <w:rsid w:val="000E6B6E"/>
    <w:rsid w:val="000E6B8F"/>
    <w:rsid w:val="000E6CE8"/>
    <w:rsid w:val="000E6D8D"/>
    <w:rsid w:val="000E7167"/>
    <w:rsid w:val="000E721B"/>
    <w:rsid w:val="000E7284"/>
    <w:rsid w:val="000E73A2"/>
    <w:rsid w:val="000E7548"/>
    <w:rsid w:val="000E77B8"/>
    <w:rsid w:val="000E78F2"/>
    <w:rsid w:val="000E7992"/>
    <w:rsid w:val="000E7D7A"/>
    <w:rsid w:val="000E7F0E"/>
    <w:rsid w:val="000E7FA0"/>
    <w:rsid w:val="000F0005"/>
    <w:rsid w:val="000F00BE"/>
    <w:rsid w:val="000F052F"/>
    <w:rsid w:val="000F073A"/>
    <w:rsid w:val="000F07F0"/>
    <w:rsid w:val="000F080F"/>
    <w:rsid w:val="000F0811"/>
    <w:rsid w:val="000F095F"/>
    <w:rsid w:val="000F09C8"/>
    <w:rsid w:val="000F0E3C"/>
    <w:rsid w:val="000F12A1"/>
    <w:rsid w:val="000F13BD"/>
    <w:rsid w:val="000F1607"/>
    <w:rsid w:val="000F1BE1"/>
    <w:rsid w:val="000F1C02"/>
    <w:rsid w:val="000F1FB5"/>
    <w:rsid w:val="000F21BA"/>
    <w:rsid w:val="000F22EC"/>
    <w:rsid w:val="000F2587"/>
    <w:rsid w:val="000F29C5"/>
    <w:rsid w:val="000F2A96"/>
    <w:rsid w:val="000F2B5F"/>
    <w:rsid w:val="000F2C22"/>
    <w:rsid w:val="000F2D43"/>
    <w:rsid w:val="000F2D69"/>
    <w:rsid w:val="000F316E"/>
    <w:rsid w:val="000F32CD"/>
    <w:rsid w:val="000F3356"/>
    <w:rsid w:val="000F3460"/>
    <w:rsid w:val="000F34DA"/>
    <w:rsid w:val="000F352D"/>
    <w:rsid w:val="000F3537"/>
    <w:rsid w:val="000F3713"/>
    <w:rsid w:val="000F388E"/>
    <w:rsid w:val="000F39B7"/>
    <w:rsid w:val="000F3EAB"/>
    <w:rsid w:val="000F3F14"/>
    <w:rsid w:val="000F41D0"/>
    <w:rsid w:val="000F4238"/>
    <w:rsid w:val="000F427C"/>
    <w:rsid w:val="000F43FB"/>
    <w:rsid w:val="000F4502"/>
    <w:rsid w:val="000F4593"/>
    <w:rsid w:val="000F475E"/>
    <w:rsid w:val="000F47A9"/>
    <w:rsid w:val="000F4D1D"/>
    <w:rsid w:val="000F4D7D"/>
    <w:rsid w:val="000F4D96"/>
    <w:rsid w:val="000F4D99"/>
    <w:rsid w:val="000F4E3D"/>
    <w:rsid w:val="000F4E68"/>
    <w:rsid w:val="000F50C4"/>
    <w:rsid w:val="000F5183"/>
    <w:rsid w:val="000F538F"/>
    <w:rsid w:val="000F56F0"/>
    <w:rsid w:val="000F5CAE"/>
    <w:rsid w:val="000F5DAD"/>
    <w:rsid w:val="000F5F9D"/>
    <w:rsid w:val="000F602A"/>
    <w:rsid w:val="000F618E"/>
    <w:rsid w:val="000F645D"/>
    <w:rsid w:val="000F659B"/>
    <w:rsid w:val="000F6829"/>
    <w:rsid w:val="000F687E"/>
    <w:rsid w:val="000F6887"/>
    <w:rsid w:val="000F6A96"/>
    <w:rsid w:val="000F6BAF"/>
    <w:rsid w:val="000F6CF9"/>
    <w:rsid w:val="000F6F66"/>
    <w:rsid w:val="000F7006"/>
    <w:rsid w:val="000F751B"/>
    <w:rsid w:val="000F76BE"/>
    <w:rsid w:val="000F7E6F"/>
    <w:rsid w:val="000F7ED0"/>
    <w:rsid w:val="000F7F1E"/>
    <w:rsid w:val="001000AC"/>
    <w:rsid w:val="001000B1"/>
    <w:rsid w:val="001001AC"/>
    <w:rsid w:val="001001DD"/>
    <w:rsid w:val="00100235"/>
    <w:rsid w:val="001006A8"/>
    <w:rsid w:val="001006F1"/>
    <w:rsid w:val="001013ED"/>
    <w:rsid w:val="001015DC"/>
    <w:rsid w:val="00101629"/>
    <w:rsid w:val="00101697"/>
    <w:rsid w:val="0010177A"/>
    <w:rsid w:val="00101813"/>
    <w:rsid w:val="0010188C"/>
    <w:rsid w:val="00101A6A"/>
    <w:rsid w:val="00101F8D"/>
    <w:rsid w:val="00102337"/>
    <w:rsid w:val="001023B2"/>
    <w:rsid w:val="00102438"/>
    <w:rsid w:val="00102496"/>
    <w:rsid w:val="00102563"/>
    <w:rsid w:val="00102708"/>
    <w:rsid w:val="00102942"/>
    <w:rsid w:val="00102B1C"/>
    <w:rsid w:val="0010307E"/>
    <w:rsid w:val="001032CE"/>
    <w:rsid w:val="0010345D"/>
    <w:rsid w:val="0010357D"/>
    <w:rsid w:val="0010372E"/>
    <w:rsid w:val="001039A5"/>
    <w:rsid w:val="00103A88"/>
    <w:rsid w:val="00103C87"/>
    <w:rsid w:val="00103E7F"/>
    <w:rsid w:val="001042D2"/>
    <w:rsid w:val="0010462D"/>
    <w:rsid w:val="00104636"/>
    <w:rsid w:val="00104646"/>
    <w:rsid w:val="001046DB"/>
    <w:rsid w:val="001046F6"/>
    <w:rsid w:val="001049BD"/>
    <w:rsid w:val="00104E28"/>
    <w:rsid w:val="00104FA8"/>
    <w:rsid w:val="00105097"/>
    <w:rsid w:val="00105164"/>
    <w:rsid w:val="0010532F"/>
    <w:rsid w:val="00105377"/>
    <w:rsid w:val="00105631"/>
    <w:rsid w:val="00105B4B"/>
    <w:rsid w:val="00105C47"/>
    <w:rsid w:val="00105F2D"/>
    <w:rsid w:val="00105F43"/>
    <w:rsid w:val="00105FC4"/>
    <w:rsid w:val="00106147"/>
    <w:rsid w:val="00106157"/>
    <w:rsid w:val="00106224"/>
    <w:rsid w:val="00106521"/>
    <w:rsid w:val="00106598"/>
    <w:rsid w:val="001065A2"/>
    <w:rsid w:val="00106A94"/>
    <w:rsid w:val="00106BA7"/>
    <w:rsid w:val="00106D2C"/>
    <w:rsid w:val="00106FA5"/>
    <w:rsid w:val="001070C5"/>
    <w:rsid w:val="0010731A"/>
    <w:rsid w:val="0010736B"/>
    <w:rsid w:val="0010751D"/>
    <w:rsid w:val="00107728"/>
    <w:rsid w:val="00107751"/>
    <w:rsid w:val="00107872"/>
    <w:rsid w:val="001079B3"/>
    <w:rsid w:val="00107B68"/>
    <w:rsid w:val="00107C1F"/>
    <w:rsid w:val="00107DB0"/>
    <w:rsid w:val="00110059"/>
    <w:rsid w:val="001100B2"/>
    <w:rsid w:val="001100C2"/>
    <w:rsid w:val="001100FE"/>
    <w:rsid w:val="001102A2"/>
    <w:rsid w:val="00110491"/>
    <w:rsid w:val="001104D3"/>
    <w:rsid w:val="00110618"/>
    <w:rsid w:val="00110B27"/>
    <w:rsid w:val="00110BD6"/>
    <w:rsid w:val="00110FC2"/>
    <w:rsid w:val="001111C6"/>
    <w:rsid w:val="001111E7"/>
    <w:rsid w:val="001111EC"/>
    <w:rsid w:val="00111293"/>
    <w:rsid w:val="00111387"/>
    <w:rsid w:val="001113D8"/>
    <w:rsid w:val="001116AE"/>
    <w:rsid w:val="00111772"/>
    <w:rsid w:val="00111C00"/>
    <w:rsid w:val="00111D82"/>
    <w:rsid w:val="00111E49"/>
    <w:rsid w:val="00111E74"/>
    <w:rsid w:val="00111EA7"/>
    <w:rsid w:val="00111FB7"/>
    <w:rsid w:val="00112088"/>
    <w:rsid w:val="001120E0"/>
    <w:rsid w:val="0011220B"/>
    <w:rsid w:val="001122D2"/>
    <w:rsid w:val="001123EA"/>
    <w:rsid w:val="001126F2"/>
    <w:rsid w:val="00112846"/>
    <w:rsid w:val="00112877"/>
    <w:rsid w:val="0011296B"/>
    <w:rsid w:val="001129B9"/>
    <w:rsid w:val="00112B35"/>
    <w:rsid w:val="00112B48"/>
    <w:rsid w:val="00112B50"/>
    <w:rsid w:val="00112F0E"/>
    <w:rsid w:val="00113421"/>
    <w:rsid w:val="00113706"/>
    <w:rsid w:val="00113AC9"/>
    <w:rsid w:val="00113C78"/>
    <w:rsid w:val="00113D0C"/>
    <w:rsid w:val="00113D9D"/>
    <w:rsid w:val="0011404D"/>
    <w:rsid w:val="00114387"/>
    <w:rsid w:val="00114416"/>
    <w:rsid w:val="00114459"/>
    <w:rsid w:val="0011455F"/>
    <w:rsid w:val="0011460C"/>
    <w:rsid w:val="00114714"/>
    <w:rsid w:val="00114A70"/>
    <w:rsid w:val="00114B97"/>
    <w:rsid w:val="00114BD9"/>
    <w:rsid w:val="00115399"/>
    <w:rsid w:val="00115475"/>
    <w:rsid w:val="001156EE"/>
    <w:rsid w:val="00115854"/>
    <w:rsid w:val="0011594C"/>
    <w:rsid w:val="00115AB7"/>
    <w:rsid w:val="00115B2E"/>
    <w:rsid w:val="00115BD8"/>
    <w:rsid w:val="00115D8A"/>
    <w:rsid w:val="00115D8F"/>
    <w:rsid w:val="00115EAA"/>
    <w:rsid w:val="00116040"/>
    <w:rsid w:val="00116053"/>
    <w:rsid w:val="001160CE"/>
    <w:rsid w:val="001162F0"/>
    <w:rsid w:val="0011650A"/>
    <w:rsid w:val="0011676B"/>
    <w:rsid w:val="00116910"/>
    <w:rsid w:val="00116BA5"/>
    <w:rsid w:val="00116CB9"/>
    <w:rsid w:val="00116D14"/>
    <w:rsid w:val="00116D63"/>
    <w:rsid w:val="00116E07"/>
    <w:rsid w:val="00116FD7"/>
    <w:rsid w:val="0011704B"/>
    <w:rsid w:val="001171D3"/>
    <w:rsid w:val="0011726D"/>
    <w:rsid w:val="001172D7"/>
    <w:rsid w:val="00117321"/>
    <w:rsid w:val="0011772B"/>
    <w:rsid w:val="0011793B"/>
    <w:rsid w:val="001179D0"/>
    <w:rsid w:val="00117CF6"/>
    <w:rsid w:val="00117FA7"/>
    <w:rsid w:val="001200EB"/>
    <w:rsid w:val="0012018D"/>
    <w:rsid w:val="00120593"/>
    <w:rsid w:val="00120844"/>
    <w:rsid w:val="00120ACF"/>
    <w:rsid w:val="00120C8D"/>
    <w:rsid w:val="00120D88"/>
    <w:rsid w:val="00120DA1"/>
    <w:rsid w:val="00120EB9"/>
    <w:rsid w:val="00120F93"/>
    <w:rsid w:val="001210D0"/>
    <w:rsid w:val="00121A0B"/>
    <w:rsid w:val="00121D68"/>
    <w:rsid w:val="00121FB9"/>
    <w:rsid w:val="00121FF5"/>
    <w:rsid w:val="00122115"/>
    <w:rsid w:val="0012215C"/>
    <w:rsid w:val="00122295"/>
    <w:rsid w:val="00122471"/>
    <w:rsid w:val="001228B3"/>
    <w:rsid w:val="001228FD"/>
    <w:rsid w:val="00122979"/>
    <w:rsid w:val="00122AAF"/>
    <w:rsid w:val="00122BA9"/>
    <w:rsid w:val="00122BBB"/>
    <w:rsid w:val="00122C73"/>
    <w:rsid w:val="00122CF4"/>
    <w:rsid w:val="00122E0F"/>
    <w:rsid w:val="00122E5C"/>
    <w:rsid w:val="0012324C"/>
    <w:rsid w:val="0012364F"/>
    <w:rsid w:val="00123854"/>
    <w:rsid w:val="00123C08"/>
    <w:rsid w:val="00123C1D"/>
    <w:rsid w:val="00123C25"/>
    <w:rsid w:val="00123D11"/>
    <w:rsid w:val="00123E60"/>
    <w:rsid w:val="00123E70"/>
    <w:rsid w:val="00123FEA"/>
    <w:rsid w:val="001242AF"/>
    <w:rsid w:val="001244D1"/>
    <w:rsid w:val="00124672"/>
    <w:rsid w:val="00124733"/>
    <w:rsid w:val="00124788"/>
    <w:rsid w:val="001247DD"/>
    <w:rsid w:val="00124933"/>
    <w:rsid w:val="00124A9C"/>
    <w:rsid w:val="00124C63"/>
    <w:rsid w:val="00124C68"/>
    <w:rsid w:val="00124D7B"/>
    <w:rsid w:val="00124E79"/>
    <w:rsid w:val="00124F8F"/>
    <w:rsid w:val="00125128"/>
    <w:rsid w:val="00125148"/>
    <w:rsid w:val="00125326"/>
    <w:rsid w:val="00125368"/>
    <w:rsid w:val="0012550D"/>
    <w:rsid w:val="0012561D"/>
    <w:rsid w:val="00125688"/>
    <w:rsid w:val="00125756"/>
    <w:rsid w:val="00125832"/>
    <w:rsid w:val="0012592A"/>
    <w:rsid w:val="00125AD7"/>
    <w:rsid w:val="0012623E"/>
    <w:rsid w:val="00126261"/>
    <w:rsid w:val="001264D6"/>
    <w:rsid w:val="001265B7"/>
    <w:rsid w:val="00126831"/>
    <w:rsid w:val="00126A6B"/>
    <w:rsid w:val="00126BA0"/>
    <w:rsid w:val="00126BD9"/>
    <w:rsid w:val="00126BEC"/>
    <w:rsid w:val="00126DB2"/>
    <w:rsid w:val="00126EBD"/>
    <w:rsid w:val="00126EF2"/>
    <w:rsid w:val="00126F3A"/>
    <w:rsid w:val="001270C7"/>
    <w:rsid w:val="00127130"/>
    <w:rsid w:val="00127176"/>
    <w:rsid w:val="001274D9"/>
    <w:rsid w:val="001276A7"/>
    <w:rsid w:val="001276E2"/>
    <w:rsid w:val="0012774E"/>
    <w:rsid w:val="00127833"/>
    <w:rsid w:val="0012784A"/>
    <w:rsid w:val="0012784D"/>
    <w:rsid w:val="0012785C"/>
    <w:rsid w:val="00127989"/>
    <w:rsid w:val="00127AC5"/>
    <w:rsid w:val="00127C46"/>
    <w:rsid w:val="00127F9C"/>
    <w:rsid w:val="00130126"/>
    <w:rsid w:val="00130273"/>
    <w:rsid w:val="001302C2"/>
    <w:rsid w:val="00130412"/>
    <w:rsid w:val="0013044A"/>
    <w:rsid w:val="0013051D"/>
    <w:rsid w:val="00130532"/>
    <w:rsid w:val="00130537"/>
    <w:rsid w:val="00130542"/>
    <w:rsid w:val="001306B9"/>
    <w:rsid w:val="00130786"/>
    <w:rsid w:val="00130797"/>
    <w:rsid w:val="001309D9"/>
    <w:rsid w:val="00130A46"/>
    <w:rsid w:val="00130B22"/>
    <w:rsid w:val="00130D79"/>
    <w:rsid w:val="00130DCD"/>
    <w:rsid w:val="00130F9F"/>
    <w:rsid w:val="001313A6"/>
    <w:rsid w:val="00131D2D"/>
    <w:rsid w:val="00131D8B"/>
    <w:rsid w:val="00131DDC"/>
    <w:rsid w:val="00131E46"/>
    <w:rsid w:val="001320C1"/>
    <w:rsid w:val="0013245D"/>
    <w:rsid w:val="00132504"/>
    <w:rsid w:val="0013258C"/>
    <w:rsid w:val="001326F2"/>
    <w:rsid w:val="001327B8"/>
    <w:rsid w:val="00132F97"/>
    <w:rsid w:val="001332C3"/>
    <w:rsid w:val="001333A3"/>
    <w:rsid w:val="001333E9"/>
    <w:rsid w:val="001336D3"/>
    <w:rsid w:val="001336F4"/>
    <w:rsid w:val="0013371E"/>
    <w:rsid w:val="0013376B"/>
    <w:rsid w:val="001337A2"/>
    <w:rsid w:val="001338BD"/>
    <w:rsid w:val="00133C76"/>
    <w:rsid w:val="001340FA"/>
    <w:rsid w:val="00134165"/>
    <w:rsid w:val="001341AD"/>
    <w:rsid w:val="00134324"/>
    <w:rsid w:val="00134475"/>
    <w:rsid w:val="001344A6"/>
    <w:rsid w:val="001347E3"/>
    <w:rsid w:val="001348AE"/>
    <w:rsid w:val="00134AB9"/>
    <w:rsid w:val="00134CEE"/>
    <w:rsid w:val="00134D28"/>
    <w:rsid w:val="001351CE"/>
    <w:rsid w:val="001359A2"/>
    <w:rsid w:val="001359FF"/>
    <w:rsid w:val="00135B39"/>
    <w:rsid w:val="00135D9B"/>
    <w:rsid w:val="0013604E"/>
    <w:rsid w:val="0013646C"/>
    <w:rsid w:val="0013650C"/>
    <w:rsid w:val="00136641"/>
    <w:rsid w:val="00136642"/>
    <w:rsid w:val="001367EE"/>
    <w:rsid w:val="0013693C"/>
    <w:rsid w:val="00136969"/>
    <w:rsid w:val="00136B64"/>
    <w:rsid w:val="00136BD1"/>
    <w:rsid w:val="00136F51"/>
    <w:rsid w:val="001370D3"/>
    <w:rsid w:val="001370DC"/>
    <w:rsid w:val="0013717A"/>
    <w:rsid w:val="001371D4"/>
    <w:rsid w:val="001371FE"/>
    <w:rsid w:val="001373F8"/>
    <w:rsid w:val="001373FB"/>
    <w:rsid w:val="00137570"/>
    <w:rsid w:val="0013764A"/>
    <w:rsid w:val="001377DA"/>
    <w:rsid w:val="00137A35"/>
    <w:rsid w:val="00137CB4"/>
    <w:rsid w:val="00137ECB"/>
    <w:rsid w:val="0014018E"/>
    <w:rsid w:val="001402A5"/>
    <w:rsid w:val="00140366"/>
    <w:rsid w:val="001403C5"/>
    <w:rsid w:val="00140523"/>
    <w:rsid w:val="00140629"/>
    <w:rsid w:val="00140708"/>
    <w:rsid w:val="00140729"/>
    <w:rsid w:val="001407A2"/>
    <w:rsid w:val="00140804"/>
    <w:rsid w:val="00140954"/>
    <w:rsid w:val="00140D56"/>
    <w:rsid w:val="00140DC5"/>
    <w:rsid w:val="00140F8C"/>
    <w:rsid w:val="0014102F"/>
    <w:rsid w:val="00141067"/>
    <w:rsid w:val="001411EA"/>
    <w:rsid w:val="001411F4"/>
    <w:rsid w:val="00141257"/>
    <w:rsid w:val="001412E7"/>
    <w:rsid w:val="0014162C"/>
    <w:rsid w:val="001418DD"/>
    <w:rsid w:val="00141AAE"/>
    <w:rsid w:val="00141BD0"/>
    <w:rsid w:val="00141CB9"/>
    <w:rsid w:val="00141D08"/>
    <w:rsid w:val="00141D22"/>
    <w:rsid w:val="00142028"/>
    <w:rsid w:val="0014203D"/>
    <w:rsid w:val="001420BF"/>
    <w:rsid w:val="00142216"/>
    <w:rsid w:val="001422A6"/>
    <w:rsid w:val="001422D1"/>
    <w:rsid w:val="001423A1"/>
    <w:rsid w:val="001427C3"/>
    <w:rsid w:val="00142B5D"/>
    <w:rsid w:val="00142B71"/>
    <w:rsid w:val="00142D29"/>
    <w:rsid w:val="00142E55"/>
    <w:rsid w:val="0014312A"/>
    <w:rsid w:val="001432CE"/>
    <w:rsid w:val="0014354A"/>
    <w:rsid w:val="0014377D"/>
    <w:rsid w:val="0014382B"/>
    <w:rsid w:val="0014383D"/>
    <w:rsid w:val="00143BD3"/>
    <w:rsid w:val="00143DA1"/>
    <w:rsid w:val="001440A1"/>
    <w:rsid w:val="001441D5"/>
    <w:rsid w:val="00144542"/>
    <w:rsid w:val="0014480A"/>
    <w:rsid w:val="00144A60"/>
    <w:rsid w:val="00144B22"/>
    <w:rsid w:val="00144BC3"/>
    <w:rsid w:val="00144C90"/>
    <w:rsid w:val="00144D27"/>
    <w:rsid w:val="001451B1"/>
    <w:rsid w:val="001452B2"/>
    <w:rsid w:val="0014573D"/>
    <w:rsid w:val="0014581C"/>
    <w:rsid w:val="001459D0"/>
    <w:rsid w:val="00145CEC"/>
    <w:rsid w:val="00145F30"/>
    <w:rsid w:val="00145F79"/>
    <w:rsid w:val="00145F7A"/>
    <w:rsid w:val="00145FE7"/>
    <w:rsid w:val="00146086"/>
    <w:rsid w:val="00146231"/>
    <w:rsid w:val="001462E2"/>
    <w:rsid w:val="001463DB"/>
    <w:rsid w:val="0014696A"/>
    <w:rsid w:val="00146994"/>
    <w:rsid w:val="0014699D"/>
    <w:rsid w:val="001469B5"/>
    <w:rsid w:val="00146B6B"/>
    <w:rsid w:val="00146B77"/>
    <w:rsid w:val="00146BA3"/>
    <w:rsid w:val="00146C43"/>
    <w:rsid w:val="00146D4B"/>
    <w:rsid w:val="00146F6E"/>
    <w:rsid w:val="00146F88"/>
    <w:rsid w:val="00147074"/>
    <w:rsid w:val="00147079"/>
    <w:rsid w:val="001473B1"/>
    <w:rsid w:val="00147429"/>
    <w:rsid w:val="00147669"/>
    <w:rsid w:val="001478D5"/>
    <w:rsid w:val="001478E3"/>
    <w:rsid w:val="00147929"/>
    <w:rsid w:val="00147975"/>
    <w:rsid w:val="00147E13"/>
    <w:rsid w:val="00147FC0"/>
    <w:rsid w:val="001500E5"/>
    <w:rsid w:val="00150123"/>
    <w:rsid w:val="00150291"/>
    <w:rsid w:val="001503E4"/>
    <w:rsid w:val="0015050E"/>
    <w:rsid w:val="0015072A"/>
    <w:rsid w:val="0015093D"/>
    <w:rsid w:val="00150962"/>
    <w:rsid w:val="00150CBF"/>
    <w:rsid w:val="001510E8"/>
    <w:rsid w:val="001511F0"/>
    <w:rsid w:val="001514F5"/>
    <w:rsid w:val="0015155C"/>
    <w:rsid w:val="00151673"/>
    <w:rsid w:val="0015184E"/>
    <w:rsid w:val="00151A79"/>
    <w:rsid w:val="00151AB1"/>
    <w:rsid w:val="00151E67"/>
    <w:rsid w:val="00151FDC"/>
    <w:rsid w:val="00152049"/>
    <w:rsid w:val="00152099"/>
    <w:rsid w:val="0015228F"/>
    <w:rsid w:val="00152313"/>
    <w:rsid w:val="00152397"/>
    <w:rsid w:val="001523C6"/>
    <w:rsid w:val="00152410"/>
    <w:rsid w:val="0015242E"/>
    <w:rsid w:val="0015244A"/>
    <w:rsid w:val="0015245E"/>
    <w:rsid w:val="001524AD"/>
    <w:rsid w:val="001526C6"/>
    <w:rsid w:val="00152956"/>
    <w:rsid w:val="00152BF6"/>
    <w:rsid w:val="00152C87"/>
    <w:rsid w:val="00152E2E"/>
    <w:rsid w:val="00152F3D"/>
    <w:rsid w:val="00152F6A"/>
    <w:rsid w:val="001533C9"/>
    <w:rsid w:val="001533FF"/>
    <w:rsid w:val="001537C6"/>
    <w:rsid w:val="00153806"/>
    <w:rsid w:val="00153853"/>
    <w:rsid w:val="0015392E"/>
    <w:rsid w:val="00153B60"/>
    <w:rsid w:val="00153DBE"/>
    <w:rsid w:val="00153E19"/>
    <w:rsid w:val="00153F2F"/>
    <w:rsid w:val="001541FF"/>
    <w:rsid w:val="00154213"/>
    <w:rsid w:val="00154378"/>
    <w:rsid w:val="00154398"/>
    <w:rsid w:val="001543BB"/>
    <w:rsid w:val="001543DF"/>
    <w:rsid w:val="001543F3"/>
    <w:rsid w:val="0015453E"/>
    <w:rsid w:val="00154622"/>
    <w:rsid w:val="00154659"/>
    <w:rsid w:val="001547C5"/>
    <w:rsid w:val="001547F0"/>
    <w:rsid w:val="001547F2"/>
    <w:rsid w:val="001548AA"/>
    <w:rsid w:val="00154A47"/>
    <w:rsid w:val="00154D0F"/>
    <w:rsid w:val="00154EBA"/>
    <w:rsid w:val="00154EFA"/>
    <w:rsid w:val="00154F59"/>
    <w:rsid w:val="0015513E"/>
    <w:rsid w:val="001551AD"/>
    <w:rsid w:val="001552DC"/>
    <w:rsid w:val="00155371"/>
    <w:rsid w:val="00155476"/>
    <w:rsid w:val="001556A2"/>
    <w:rsid w:val="0015581D"/>
    <w:rsid w:val="0015585E"/>
    <w:rsid w:val="00155A70"/>
    <w:rsid w:val="00155BE7"/>
    <w:rsid w:val="00155D5D"/>
    <w:rsid w:val="00156390"/>
    <w:rsid w:val="0015639C"/>
    <w:rsid w:val="00156414"/>
    <w:rsid w:val="0015641A"/>
    <w:rsid w:val="001565A1"/>
    <w:rsid w:val="00156663"/>
    <w:rsid w:val="00156842"/>
    <w:rsid w:val="00156B9B"/>
    <w:rsid w:val="00156C64"/>
    <w:rsid w:val="00156D62"/>
    <w:rsid w:val="00156DCF"/>
    <w:rsid w:val="00156E9C"/>
    <w:rsid w:val="0015746B"/>
    <w:rsid w:val="00157F4E"/>
    <w:rsid w:val="0016036E"/>
    <w:rsid w:val="0016038A"/>
    <w:rsid w:val="001603F0"/>
    <w:rsid w:val="00160445"/>
    <w:rsid w:val="001607A1"/>
    <w:rsid w:val="001609A8"/>
    <w:rsid w:val="00160B28"/>
    <w:rsid w:val="00160C7E"/>
    <w:rsid w:val="00160E2B"/>
    <w:rsid w:val="00160EEF"/>
    <w:rsid w:val="001613BC"/>
    <w:rsid w:val="00161441"/>
    <w:rsid w:val="00161508"/>
    <w:rsid w:val="00161604"/>
    <w:rsid w:val="001616DC"/>
    <w:rsid w:val="0016194B"/>
    <w:rsid w:val="00161ADF"/>
    <w:rsid w:val="00161C49"/>
    <w:rsid w:val="00161DC7"/>
    <w:rsid w:val="00161ED9"/>
    <w:rsid w:val="00162103"/>
    <w:rsid w:val="00162163"/>
    <w:rsid w:val="001621FA"/>
    <w:rsid w:val="001622DE"/>
    <w:rsid w:val="0016270E"/>
    <w:rsid w:val="00162811"/>
    <w:rsid w:val="001628F7"/>
    <w:rsid w:val="001629D9"/>
    <w:rsid w:val="00162A3A"/>
    <w:rsid w:val="00162DBF"/>
    <w:rsid w:val="00162F7B"/>
    <w:rsid w:val="0016310D"/>
    <w:rsid w:val="001631DC"/>
    <w:rsid w:val="00163372"/>
    <w:rsid w:val="00163402"/>
    <w:rsid w:val="0016348E"/>
    <w:rsid w:val="0016384D"/>
    <w:rsid w:val="00163891"/>
    <w:rsid w:val="00163AE3"/>
    <w:rsid w:val="00163B1F"/>
    <w:rsid w:val="00163C1D"/>
    <w:rsid w:val="00163C35"/>
    <w:rsid w:val="00163D42"/>
    <w:rsid w:val="00163E98"/>
    <w:rsid w:val="0016407B"/>
    <w:rsid w:val="001641B7"/>
    <w:rsid w:val="001642CD"/>
    <w:rsid w:val="00164636"/>
    <w:rsid w:val="00164B6A"/>
    <w:rsid w:val="00164CAD"/>
    <w:rsid w:val="00164D4B"/>
    <w:rsid w:val="00165281"/>
    <w:rsid w:val="001652B2"/>
    <w:rsid w:val="001653B4"/>
    <w:rsid w:val="001654C5"/>
    <w:rsid w:val="0016587D"/>
    <w:rsid w:val="00165A58"/>
    <w:rsid w:val="00165A9D"/>
    <w:rsid w:val="00165CBE"/>
    <w:rsid w:val="00165D85"/>
    <w:rsid w:val="00165EE5"/>
    <w:rsid w:val="001660D1"/>
    <w:rsid w:val="001660F6"/>
    <w:rsid w:val="00166234"/>
    <w:rsid w:val="0016653D"/>
    <w:rsid w:val="00166659"/>
    <w:rsid w:val="001666CB"/>
    <w:rsid w:val="001668F8"/>
    <w:rsid w:val="00166A76"/>
    <w:rsid w:val="00166D78"/>
    <w:rsid w:val="00166DBB"/>
    <w:rsid w:val="00166EF0"/>
    <w:rsid w:val="00166FF0"/>
    <w:rsid w:val="00167018"/>
    <w:rsid w:val="00167309"/>
    <w:rsid w:val="001673D4"/>
    <w:rsid w:val="001673DD"/>
    <w:rsid w:val="00167422"/>
    <w:rsid w:val="0016756C"/>
    <w:rsid w:val="001675B5"/>
    <w:rsid w:val="00167840"/>
    <w:rsid w:val="00167843"/>
    <w:rsid w:val="00167BBD"/>
    <w:rsid w:val="00167CA2"/>
    <w:rsid w:val="00167D36"/>
    <w:rsid w:val="00167E2B"/>
    <w:rsid w:val="00167E89"/>
    <w:rsid w:val="00167EEA"/>
    <w:rsid w:val="00167FCF"/>
    <w:rsid w:val="0017030E"/>
    <w:rsid w:val="00170634"/>
    <w:rsid w:val="0017071A"/>
    <w:rsid w:val="00170845"/>
    <w:rsid w:val="001709C1"/>
    <w:rsid w:val="001709F9"/>
    <w:rsid w:val="00170C2C"/>
    <w:rsid w:val="00170DA3"/>
    <w:rsid w:val="00170F19"/>
    <w:rsid w:val="00171273"/>
    <w:rsid w:val="00171369"/>
    <w:rsid w:val="00171381"/>
    <w:rsid w:val="001714B3"/>
    <w:rsid w:val="00171574"/>
    <w:rsid w:val="0017164B"/>
    <w:rsid w:val="001716B0"/>
    <w:rsid w:val="0017182C"/>
    <w:rsid w:val="00171A3B"/>
    <w:rsid w:val="00171A57"/>
    <w:rsid w:val="00171C6C"/>
    <w:rsid w:val="00171CB6"/>
    <w:rsid w:val="001720D9"/>
    <w:rsid w:val="00172807"/>
    <w:rsid w:val="001728A4"/>
    <w:rsid w:val="00172EB4"/>
    <w:rsid w:val="001731CF"/>
    <w:rsid w:val="0017355B"/>
    <w:rsid w:val="00173663"/>
    <w:rsid w:val="00173709"/>
    <w:rsid w:val="001738DE"/>
    <w:rsid w:val="00173A6F"/>
    <w:rsid w:val="00173C3A"/>
    <w:rsid w:val="00173C7D"/>
    <w:rsid w:val="00173CCD"/>
    <w:rsid w:val="001740F0"/>
    <w:rsid w:val="00174121"/>
    <w:rsid w:val="00174590"/>
    <w:rsid w:val="00174740"/>
    <w:rsid w:val="00174751"/>
    <w:rsid w:val="00174A0F"/>
    <w:rsid w:val="00174F26"/>
    <w:rsid w:val="00175185"/>
    <w:rsid w:val="0017557C"/>
    <w:rsid w:val="0017567B"/>
    <w:rsid w:val="00175756"/>
    <w:rsid w:val="001757EE"/>
    <w:rsid w:val="0017590A"/>
    <w:rsid w:val="001759C0"/>
    <w:rsid w:val="00175A33"/>
    <w:rsid w:val="00175A3F"/>
    <w:rsid w:val="00175A56"/>
    <w:rsid w:val="00175ABE"/>
    <w:rsid w:val="00175B22"/>
    <w:rsid w:val="00175E7A"/>
    <w:rsid w:val="00176082"/>
    <w:rsid w:val="00176197"/>
    <w:rsid w:val="0017629E"/>
    <w:rsid w:val="00176453"/>
    <w:rsid w:val="001764ED"/>
    <w:rsid w:val="00176875"/>
    <w:rsid w:val="00176933"/>
    <w:rsid w:val="001769F1"/>
    <w:rsid w:val="00176A3B"/>
    <w:rsid w:val="00176E94"/>
    <w:rsid w:val="00176EE8"/>
    <w:rsid w:val="00176F14"/>
    <w:rsid w:val="00176FF1"/>
    <w:rsid w:val="00177312"/>
    <w:rsid w:val="00177625"/>
    <w:rsid w:val="0017763B"/>
    <w:rsid w:val="00177920"/>
    <w:rsid w:val="00177982"/>
    <w:rsid w:val="001779C6"/>
    <w:rsid w:val="00177C28"/>
    <w:rsid w:val="00177C5F"/>
    <w:rsid w:val="00177D94"/>
    <w:rsid w:val="001800CC"/>
    <w:rsid w:val="001800F3"/>
    <w:rsid w:val="001802F2"/>
    <w:rsid w:val="00180303"/>
    <w:rsid w:val="00180350"/>
    <w:rsid w:val="001803B3"/>
    <w:rsid w:val="00180400"/>
    <w:rsid w:val="001804CB"/>
    <w:rsid w:val="001807BD"/>
    <w:rsid w:val="001809B2"/>
    <w:rsid w:val="00180ACF"/>
    <w:rsid w:val="00180F77"/>
    <w:rsid w:val="00181130"/>
    <w:rsid w:val="0018119C"/>
    <w:rsid w:val="001813C6"/>
    <w:rsid w:val="0018158F"/>
    <w:rsid w:val="001815DC"/>
    <w:rsid w:val="00181649"/>
    <w:rsid w:val="00181714"/>
    <w:rsid w:val="00181793"/>
    <w:rsid w:val="001819C9"/>
    <w:rsid w:val="00181A2D"/>
    <w:rsid w:val="00181BA1"/>
    <w:rsid w:val="00181C71"/>
    <w:rsid w:val="00181CEA"/>
    <w:rsid w:val="00181EB6"/>
    <w:rsid w:val="001820D8"/>
    <w:rsid w:val="00182138"/>
    <w:rsid w:val="001824BF"/>
    <w:rsid w:val="00182A67"/>
    <w:rsid w:val="00182A7E"/>
    <w:rsid w:val="00182A82"/>
    <w:rsid w:val="00182AD4"/>
    <w:rsid w:val="00182B1D"/>
    <w:rsid w:val="00182BCC"/>
    <w:rsid w:val="00182CE2"/>
    <w:rsid w:val="0018305F"/>
    <w:rsid w:val="001830A4"/>
    <w:rsid w:val="001833DB"/>
    <w:rsid w:val="001834D2"/>
    <w:rsid w:val="001834E2"/>
    <w:rsid w:val="001835F9"/>
    <w:rsid w:val="001836FF"/>
    <w:rsid w:val="00183743"/>
    <w:rsid w:val="00183888"/>
    <w:rsid w:val="0018392E"/>
    <w:rsid w:val="00183E20"/>
    <w:rsid w:val="0018435F"/>
    <w:rsid w:val="001844A5"/>
    <w:rsid w:val="00184552"/>
    <w:rsid w:val="0018473A"/>
    <w:rsid w:val="00184744"/>
    <w:rsid w:val="0018489D"/>
    <w:rsid w:val="00184BC9"/>
    <w:rsid w:val="00184E85"/>
    <w:rsid w:val="00184F68"/>
    <w:rsid w:val="00184FA2"/>
    <w:rsid w:val="001850F3"/>
    <w:rsid w:val="00185100"/>
    <w:rsid w:val="0018515A"/>
    <w:rsid w:val="001851A7"/>
    <w:rsid w:val="001851B3"/>
    <w:rsid w:val="00185371"/>
    <w:rsid w:val="00185509"/>
    <w:rsid w:val="001857C7"/>
    <w:rsid w:val="001858CE"/>
    <w:rsid w:val="00185A5B"/>
    <w:rsid w:val="00185CBC"/>
    <w:rsid w:val="00185D6A"/>
    <w:rsid w:val="00185E39"/>
    <w:rsid w:val="001863FE"/>
    <w:rsid w:val="001868AE"/>
    <w:rsid w:val="00186D3F"/>
    <w:rsid w:val="00186EE0"/>
    <w:rsid w:val="00187104"/>
    <w:rsid w:val="00187189"/>
    <w:rsid w:val="00187267"/>
    <w:rsid w:val="0018732C"/>
    <w:rsid w:val="001873ED"/>
    <w:rsid w:val="00187689"/>
    <w:rsid w:val="00187763"/>
    <w:rsid w:val="00187794"/>
    <w:rsid w:val="001877A4"/>
    <w:rsid w:val="001879D9"/>
    <w:rsid w:val="00187E11"/>
    <w:rsid w:val="00187F9C"/>
    <w:rsid w:val="00187FAA"/>
    <w:rsid w:val="001902D6"/>
    <w:rsid w:val="00190368"/>
    <w:rsid w:val="001905BE"/>
    <w:rsid w:val="001907A3"/>
    <w:rsid w:val="001907BA"/>
    <w:rsid w:val="00190841"/>
    <w:rsid w:val="001908E6"/>
    <w:rsid w:val="00190B04"/>
    <w:rsid w:val="00190CEF"/>
    <w:rsid w:val="00190DC2"/>
    <w:rsid w:val="00190E33"/>
    <w:rsid w:val="00190FD9"/>
    <w:rsid w:val="0019116C"/>
    <w:rsid w:val="0019133A"/>
    <w:rsid w:val="00191404"/>
    <w:rsid w:val="001916CC"/>
    <w:rsid w:val="00191743"/>
    <w:rsid w:val="0019188F"/>
    <w:rsid w:val="001919C5"/>
    <w:rsid w:val="00191C29"/>
    <w:rsid w:val="00191D57"/>
    <w:rsid w:val="00191DF9"/>
    <w:rsid w:val="00191EA9"/>
    <w:rsid w:val="00191F6F"/>
    <w:rsid w:val="0019225F"/>
    <w:rsid w:val="001923E2"/>
    <w:rsid w:val="001925D2"/>
    <w:rsid w:val="00192A51"/>
    <w:rsid w:val="00192A64"/>
    <w:rsid w:val="00192C5F"/>
    <w:rsid w:val="00192D0A"/>
    <w:rsid w:val="00192FD2"/>
    <w:rsid w:val="0019308C"/>
    <w:rsid w:val="001931B5"/>
    <w:rsid w:val="00193516"/>
    <w:rsid w:val="001935B1"/>
    <w:rsid w:val="00193714"/>
    <w:rsid w:val="00193759"/>
    <w:rsid w:val="0019375F"/>
    <w:rsid w:val="001938E6"/>
    <w:rsid w:val="001939D4"/>
    <w:rsid w:val="00193B4A"/>
    <w:rsid w:val="00193CD8"/>
    <w:rsid w:val="00193CF3"/>
    <w:rsid w:val="0019423E"/>
    <w:rsid w:val="001942FC"/>
    <w:rsid w:val="0019431D"/>
    <w:rsid w:val="00194512"/>
    <w:rsid w:val="001945BB"/>
    <w:rsid w:val="001945DC"/>
    <w:rsid w:val="0019472E"/>
    <w:rsid w:val="00194824"/>
    <w:rsid w:val="00194BED"/>
    <w:rsid w:val="00194C46"/>
    <w:rsid w:val="00194C9E"/>
    <w:rsid w:val="00194F3E"/>
    <w:rsid w:val="00194FB8"/>
    <w:rsid w:val="00195380"/>
    <w:rsid w:val="00195524"/>
    <w:rsid w:val="0019563B"/>
    <w:rsid w:val="00195805"/>
    <w:rsid w:val="00195837"/>
    <w:rsid w:val="00195AF6"/>
    <w:rsid w:val="00195E48"/>
    <w:rsid w:val="0019603A"/>
    <w:rsid w:val="00196068"/>
    <w:rsid w:val="0019618D"/>
    <w:rsid w:val="001968B7"/>
    <w:rsid w:val="001968F7"/>
    <w:rsid w:val="00196954"/>
    <w:rsid w:val="00196B08"/>
    <w:rsid w:val="00196C78"/>
    <w:rsid w:val="00196D6B"/>
    <w:rsid w:val="00196E9A"/>
    <w:rsid w:val="00196F04"/>
    <w:rsid w:val="00196FD6"/>
    <w:rsid w:val="00196FF0"/>
    <w:rsid w:val="001970CD"/>
    <w:rsid w:val="001970E7"/>
    <w:rsid w:val="0019712F"/>
    <w:rsid w:val="00197603"/>
    <w:rsid w:val="001976AE"/>
    <w:rsid w:val="0019775D"/>
    <w:rsid w:val="0019785E"/>
    <w:rsid w:val="00197A9E"/>
    <w:rsid w:val="00197BCB"/>
    <w:rsid w:val="00197C2A"/>
    <w:rsid w:val="00197CCF"/>
    <w:rsid w:val="00197D14"/>
    <w:rsid w:val="00197F1D"/>
    <w:rsid w:val="00197F2D"/>
    <w:rsid w:val="001A002B"/>
    <w:rsid w:val="001A00C4"/>
    <w:rsid w:val="001A02EA"/>
    <w:rsid w:val="001A0375"/>
    <w:rsid w:val="001A060B"/>
    <w:rsid w:val="001A067A"/>
    <w:rsid w:val="001A07C5"/>
    <w:rsid w:val="001A0C8C"/>
    <w:rsid w:val="001A0E95"/>
    <w:rsid w:val="001A1059"/>
    <w:rsid w:val="001A1168"/>
    <w:rsid w:val="001A12AE"/>
    <w:rsid w:val="001A1377"/>
    <w:rsid w:val="001A1460"/>
    <w:rsid w:val="001A154B"/>
    <w:rsid w:val="001A15BC"/>
    <w:rsid w:val="001A15BD"/>
    <w:rsid w:val="001A16BE"/>
    <w:rsid w:val="001A1732"/>
    <w:rsid w:val="001A176E"/>
    <w:rsid w:val="001A17BF"/>
    <w:rsid w:val="001A17C9"/>
    <w:rsid w:val="001A185D"/>
    <w:rsid w:val="001A1D47"/>
    <w:rsid w:val="001A1E17"/>
    <w:rsid w:val="001A1FAB"/>
    <w:rsid w:val="001A1FE8"/>
    <w:rsid w:val="001A210B"/>
    <w:rsid w:val="001A25DE"/>
    <w:rsid w:val="001A262D"/>
    <w:rsid w:val="001A2754"/>
    <w:rsid w:val="001A27EF"/>
    <w:rsid w:val="001A2827"/>
    <w:rsid w:val="001A28C5"/>
    <w:rsid w:val="001A28F6"/>
    <w:rsid w:val="001A29B0"/>
    <w:rsid w:val="001A2C22"/>
    <w:rsid w:val="001A2E35"/>
    <w:rsid w:val="001A2F9F"/>
    <w:rsid w:val="001A3003"/>
    <w:rsid w:val="001A301B"/>
    <w:rsid w:val="001A3341"/>
    <w:rsid w:val="001A33C1"/>
    <w:rsid w:val="001A367A"/>
    <w:rsid w:val="001A3AC0"/>
    <w:rsid w:val="001A3D2D"/>
    <w:rsid w:val="001A3F0E"/>
    <w:rsid w:val="001A3FE2"/>
    <w:rsid w:val="001A40BA"/>
    <w:rsid w:val="001A431E"/>
    <w:rsid w:val="001A43A3"/>
    <w:rsid w:val="001A4415"/>
    <w:rsid w:val="001A444B"/>
    <w:rsid w:val="001A47B9"/>
    <w:rsid w:val="001A4827"/>
    <w:rsid w:val="001A4903"/>
    <w:rsid w:val="001A4A32"/>
    <w:rsid w:val="001A4B95"/>
    <w:rsid w:val="001A4BC3"/>
    <w:rsid w:val="001A4C51"/>
    <w:rsid w:val="001A5008"/>
    <w:rsid w:val="001A5172"/>
    <w:rsid w:val="001A52F4"/>
    <w:rsid w:val="001A55A6"/>
    <w:rsid w:val="001A5684"/>
    <w:rsid w:val="001A56BC"/>
    <w:rsid w:val="001A57A0"/>
    <w:rsid w:val="001A5907"/>
    <w:rsid w:val="001A5A50"/>
    <w:rsid w:val="001A5DC6"/>
    <w:rsid w:val="001A5E3F"/>
    <w:rsid w:val="001A62F7"/>
    <w:rsid w:val="001A63B6"/>
    <w:rsid w:val="001A63E1"/>
    <w:rsid w:val="001A63F9"/>
    <w:rsid w:val="001A64E7"/>
    <w:rsid w:val="001A6574"/>
    <w:rsid w:val="001A664F"/>
    <w:rsid w:val="001A66A4"/>
    <w:rsid w:val="001A6757"/>
    <w:rsid w:val="001A67AF"/>
    <w:rsid w:val="001A6874"/>
    <w:rsid w:val="001A68B9"/>
    <w:rsid w:val="001A6ADC"/>
    <w:rsid w:val="001A6B54"/>
    <w:rsid w:val="001A6B64"/>
    <w:rsid w:val="001A6E16"/>
    <w:rsid w:val="001A6F28"/>
    <w:rsid w:val="001A6F2C"/>
    <w:rsid w:val="001A72E7"/>
    <w:rsid w:val="001A736A"/>
    <w:rsid w:val="001A736E"/>
    <w:rsid w:val="001A77F2"/>
    <w:rsid w:val="001A7844"/>
    <w:rsid w:val="001A7936"/>
    <w:rsid w:val="001A7F74"/>
    <w:rsid w:val="001B0046"/>
    <w:rsid w:val="001B04C9"/>
    <w:rsid w:val="001B0820"/>
    <w:rsid w:val="001B0B29"/>
    <w:rsid w:val="001B0C55"/>
    <w:rsid w:val="001B0D97"/>
    <w:rsid w:val="001B0EC2"/>
    <w:rsid w:val="001B1165"/>
    <w:rsid w:val="001B139F"/>
    <w:rsid w:val="001B177C"/>
    <w:rsid w:val="001B1793"/>
    <w:rsid w:val="001B19CF"/>
    <w:rsid w:val="001B1A7B"/>
    <w:rsid w:val="001B1AF3"/>
    <w:rsid w:val="001B1C70"/>
    <w:rsid w:val="001B1FBC"/>
    <w:rsid w:val="001B21C6"/>
    <w:rsid w:val="001B21E5"/>
    <w:rsid w:val="001B276B"/>
    <w:rsid w:val="001B2809"/>
    <w:rsid w:val="001B291A"/>
    <w:rsid w:val="001B2C28"/>
    <w:rsid w:val="001B2DF3"/>
    <w:rsid w:val="001B2F69"/>
    <w:rsid w:val="001B30E9"/>
    <w:rsid w:val="001B34D2"/>
    <w:rsid w:val="001B374B"/>
    <w:rsid w:val="001B37D6"/>
    <w:rsid w:val="001B3F8F"/>
    <w:rsid w:val="001B40A7"/>
    <w:rsid w:val="001B40F7"/>
    <w:rsid w:val="001B411B"/>
    <w:rsid w:val="001B4161"/>
    <w:rsid w:val="001B445A"/>
    <w:rsid w:val="001B46BA"/>
    <w:rsid w:val="001B46EF"/>
    <w:rsid w:val="001B4747"/>
    <w:rsid w:val="001B4818"/>
    <w:rsid w:val="001B4868"/>
    <w:rsid w:val="001B48BC"/>
    <w:rsid w:val="001B4C76"/>
    <w:rsid w:val="001B4F09"/>
    <w:rsid w:val="001B4FBD"/>
    <w:rsid w:val="001B52A7"/>
    <w:rsid w:val="001B53F2"/>
    <w:rsid w:val="001B548B"/>
    <w:rsid w:val="001B559D"/>
    <w:rsid w:val="001B575A"/>
    <w:rsid w:val="001B5818"/>
    <w:rsid w:val="001B59BE"/>
    <w:rsid w:val="001B5BF7"/>
    <w:rsid w:val="001B6130"/>
    <w:rsid w:val="001B6228"/>
    <w:rsid w:val="001B6387"/>
    <w:rsid w:val="001B64DB"/>
    <w:rsid w:val="001B6533"/>
    <w:rsid w:val="001B67B2"/>
    <w:rsid w:val="001B68F6"/>
    <w:rsid w:val="001B6A0B"/>
    <w:rsid w:val="001B6C74"/>
    <w:rsid w:val="001B6C8F"/>
    <w:rsid w:val="001B6D51"/>
    <w:rsid w:val="001B6DA9"/>
    <w:rsid w:val="001B7178"/>
    <w:rsid w:val="001B7181"/>
    <w:rsid w:val="001B7456"/>
    <w:rsid w:val="001B74A8"/>
    <w:rsid w:val="001B7699"/>
    <w:rsid w:val="001B7910"/>
    <w:rsid w:val="001B7CF6"/>
    <w:rsid w:val="001B7CFE"/>
    <w:rsid w:val="001B7F04"/>
    <w:rsid w:val="001C017F"/>
    <w:rsid w:val="001C0449"/>
    <w:rsid w:val="001C0676"/>
    <w:rsid w:val="001C06A6"/>
    <w:rsid w:val="001C0A48"/>
    <w:rsid w:val="001C0A5F"/>
    <w:rsid w:val="001C0BA5"/>
    <w:rsid w:val="001C0C0E"/>
    <w:rsid w:val="001C0D1B"/>
    <w:rsid w:val="001C0E3E"/>
    <w:rsid w:val="001C128D"/>
    <w:rsid w:val="001C140B"/>
    <w:rsid w:val="001C170A"/>
    <w:rsid w:val="001C1746"/>
    <w:rsid w:val="001C176F"/>
    <w:rsid w:val="001C1B26"/>
    <w:rsid w:val="001C1E53"/>
    <w:rsid w:val="001C1EAB"/>
    <w:rsid w:val="001C2058"/>
    <w:rsid w:val="001C217D"/>
    <w:rsid w:val="001C2817"/>
    <w:rsid w:val="001C28A3"/>
    <w:rsid w:val="001C29CA"/>
    <w:rsid w:val="001C2AE7"/>
    <w:rsid w:val="001C2D72"/>
    <w:rsid w:val="001C2D85"/>
    <w:rsid w:val="001C3001"/>
    <w:rsid w:val="001C3133"/>
    <w:rsid w:val="001C31BD"/>
    <w:rsid w:val="001C3266"/>
    <w:rsid w:val="001C3434"/>
    <w:rsid w:val="001C343D"/>
    <w:rsid w:val="001C34D9"/>
    <w:rsid w:val="001C3604"/>
    <w:rsid w:val="001C368D"/>
    <w:rsid w:val="001C36AA"/>
    <w:rsid w:val="001C37EB"/>
    <w:rsid w:val="001C38CB"/>
    <w:rsid w:val="001C3916"/>
    <w:rsid w:val="001C3A16"/>
    <w:rsid w:val="001C3A7B"/>
    <w:rsid w:val="001C3AA3"/>
    <w:rsid w:val="001C3F19"/>
    <w:rsid w:val="001C4287"/>
    <w:rsid w:val="001C44EF"/>
    <w:rsid w:val="001C4515"/>
    <w:rsid w:val="001C4550"/>
    <w:rsid w:val="001C467E"/>
    <w:rsid w:val="001C46E0"/>
    <w:rsid w:val="001C49DA"/>
    <w:rsid w:val="001C4BEC"/>
    <w:rsid w:val="001C4C2D"/>
    <w:rsid w:val="001C4E16"/>
    <w:rsid w:val="001C4FE4"/>
    <w:rsid w:val="001C51FF"/>
    <w:rsid w:val="001C5609"/>
    <w:rsid w:val="001C562D"/>
    <w:rsid w:val="001C56FE"/>
    <w:rsid w:val="001C57C5"/>
    <w:rsid w:val="001C5898"/>
    <w:rsid w:val="001C58C2"/>
    <w:rsid w:val="001C5A5A"/>
    <w:rsid w:val="001C5F11"/>
    <w:rsid w:val="001C6107"/>
    <w:rsid w:val="001C61A2"/>
    <w:rsid w:val="001C63FE"/>
    <w:rsid w:val="001C6557"/>
    <w:rsid w:val="001C6667"/>
    <w:rsid w:val="001C676D"/>
    <w:rsid w:val="001C67B8"/>
    <w:rsid w:val="001C68E4"/>
    <w:rsid w:val="001C69B1"/>
    <w:rsid w:val="001C69EA"/>
    <w:rsid w:val="001C6A96"/>
    <w:rsid w:val="001C6B83"/>
    <w:rsid w:val="001C6CB9"/>
    <w:rsid w:val="001C6E66"/>
    <w:rsid w:val="001C71ED"/>
    <w:rsid w:val="001C7348"/>
    <w:rsid w:val="001C738F"/>
    <w:rsid w:val="001C73C5"/>
    <w:rsid w:val="001C744F"/>
    <w:rsid w:val="001C78C9"/>
    <w:rsid w:val="001C78CD"/>
    <w:rsid w:val="001C79C3"/>
    <w:rsid w:val="001C7B72"/>
    <w:rsid w:val="001C7B84"/>
    <w:rsid w:val="001C7C46"/>
    <w:rsid w:val="001C7C69"/>
    <w:rsid w:val="001C7D2C"/>
    <w:rsid w:val="001C7E72"/>
    <w:rsid w:val="001D0089"/>
    <w:rsid w:val="001D00C2"/>
    <w:rsid w:val="001D013E"/>
    <w:rsid w:val="001D0233"/>
    <w:rsid w:val="001D05AE"/>
    <w:rsid w:val="001D0BB7"/>
    <w:rsid w:val="001D0E51"/>
    <w:rsid w:val="001D0F06"/>
    <w:rsid w:val="001D1004"/>
    <w:rsid w:val="001D1136"/>
    <w:rsid w:val="001D1453"/>
    <w:rsid w:val="001D155A"/>
    <w:rsid w:val="001D1612"/>
    <w:rsid w:val="001D1642"/>
    <w:rsid w:val="001D19E2"/>
    <w:rsid w:val="001D1AB4"/>
    <w:rsid w:val="001D1DCB"/>
    <w:rsid w:val="001D1E19"/>
    <w:rsid w:val="001D1E63"/>
    <w:rsid w:val="001D217E"/>
    <w:rsid w:val="001D2703"/>
    <w:rsid w:val="001D281D"/>
    <w:rsid w:val="001D2BA1"/>
    <w:rsid w:val="001D2E9D"/>
    <w:rsid w:val="001D31B1"/>
    <w:rsid w:val="001D31C7"/>
    <w:rsid w:val="001D3324"/>
    <w:rsid w:val="001D3352"/>
    <w:rsid w:val="001D342B"/>
    <w:rsid w:val="001D342C"/>
    <w:rsid w:val="001D34A5"/>
    <w:rsid w:val="001D35F4"/>
    <w:rsid w:val="001D397E"/>
    <w:rsid w:val="001D3B0C"/>
    <w:rsid w:val="001D3BE5"/>
    <w:rsid w:val="001D3CDE"/>
    <w:rsid w:val="001D3E15"/>
    <w:rsid w:val="001D3EE8"/>
    <w:rsid w:val="001D466F"/>
    <w:rsid w:val="001D46A7"/>
    <w:rsid w:val="001D470D"/>
    <w:rsid w:val="001D4928"/>
    <w:rsid w:val="001D4AF0"/>
    <w:rsid w:val="001D4CDA"/>
    <w:rsid w:val="001D4CE2"/>
    <w:rsid w:val="001D4CEF"/>
    <w:rsid w:val="001D4D02"/>
    <w:rsid w:val="001D537C"/>
    <w:rsid w:val="001D54D9"/>
    <w:rsid w:val="001D556E"/>
    <w:rsid w:val="001D5949"/>
    <w:rsid w:val="001D59F4"/>
    <w:rsid w:val="001D5DB9"/>
    <w:rsid w:val="001D5DE9"/>
    <w:rsid w:val="001D5EC8"/>
    <w:rsid w:val="001D5FB9"/>
    <w:rsid w:val="001D603B"/>
    <w:rsid w:val="001D613F"/>
    <w:rsid w:val="001D6251"/>
    <w:rsid w:val="001D6387"/>
    <w:rsid w:val="001D63F5"/>
    <w:rsid w:val="001D6578"/>
    <w:rsid w:val="001D6720"/>
    <w:rsid w:val="001D67C7"/>
    <w:rsid w:val="001D682F"/>
    <w:rsid w:val="001D6857"/>
    <w:rsid w:val="001D6C5A"/>
    <w:rsid w:val="001D6C5E"/>
    <w:rsid w:val="001D6D7F"/>
    <w:rsid w:val="001D700F"/>
    <w:rsid w:val="001D72E8"/>
    <w:rsid w:val="001D73CB"/>
    <w:rsid w:val="001D76A7"/>
    <w:rsid w:val="001D79A2"/>
    <w:rsid w:val="001D79C6"/>
    <w:rsid w:val="001E024A"/>
    <w:rsid w:val="001E0388"/>
    <w:rsid w:val="001E07FC"/>
    <w:rsid w:val="001E085B"/>
    <w:rsid w:val="001E0968"/>
    <w:rsid w:val="001E09DB"/>
    <w:rsid w:val="001E0E71"/>
    <w:rsid w:val="001E0FC8"/>
    <w:rsid w:val="001E10DA"/>
    <w:rsid w:val="001E1200"/>
    <w:rsid w:val="001E1351"/>
    <w:rsid w:val="001E1393"/>
    <w:rsid w:val="001E1509"/>
    <w:rsid w:val="001E15FE"/>
    <w:rsid w:val="001E17E3"/>
    <w:rsid w:val="001E1E88"/>
    <w:rsid w:val="001E1EBF"/>
    <w:rsid w:val="001E20C4"/>
    <w:rsid w:val="001E226D"/>
    <w:rsid w:val="001E25A0"/>
    <w:rsid w:val="001E267C"/>
    <w:rsid w:val="001E2A42"/>
    <w:rsid w:val="001E2A74"/>
    <w:rsid w:val="001E2AF3"/>
    <w:rsid w:val="001E2C0E"/>
    <w:rsid w:val="001E2C78"/>
    <w:rsid w:val="001E2CBF"/>
    <w:rsid w:val="001E2CE1"/>
    <w:rsid w:val="001E311C"/>
    <w:rsid w:val="001E3165"/>
    <w:rsid w:val="001E32E3"/>
    <w:rsid w:val="001E3344"/>
    <w:rsid w:val="001E3468"/>
    <w:rsid w:val="001E381A"/>
    <w:rsid w:val="001E390A"/>
    <w:rsid w:val="001E3CF3"/>
    <w:rsid w:val="001E3FFB"/>
    <w:rsid w:val="001E41BD"/>
    <w:rsid w:val="001E4287"/>
    <w:rsid w:val="001E4681"/>
    <w:rsid w:val="001E4799"/>
    <w:rsid w:val="001E4A3B"/>
    <w:rsid w:val="001E4A80"/>
    <w:rsid w:val="001E4B55"/>
    <w:rsid w:val="001E4EF0"/>
    <w:rsid w:val="001E513D"/>
    <w:rsid w:val="001E52FB"/>
    <w:rsid w:val="001E57D3"/>
    <w:rsid w:val="001E587A"/>
    <w:rsid w:val="001E5AF5"/>
    <w:rsid w:val="001E5F2C"/>
    <w:rsid w:val="001E60AE"/>
    <w:rsid w:val="001E61BE"/>
    <w:rsid w:val="001E6324"/>
    <w:rsid w:val="001E64DE"/>
    <w:rsid w:val="001E679F"/>
    <w:rsid w:val="001E6813"/>
    <w:rsid w:val="001E6834"/>
    <w:rsid w:val="001E6E0C"/>
    <w:rsid w:val="001E6E4C"/>
    <w:rsid w:val="001E6F27"/>
    <w:rsid w:val="001E6F3E"/>
    <w:rsid w:val="001E70BB"/>
    <w:rsid w:val="001E70EE"/>
    <w:rsid w:val="001E7350"/>
    <w:rsid w:val="001E7551"/>
    <w:rsid w:val="001E7563"/>
    <w:rsid w:val="001E7692"/>
    <w:rsid w:val="001E77D1"/>
    <w:rsid w:val="001E7843"/>
    <w:rsid w:val="001E7871"/>
    <w:rsid w:val="001E7A68"/>
    <w:rsid w:val="001E7E96"/>
    <w:rsid w:val="001F01C1"/>
    <w:rsid w:val="001F0360"/>
    <w:rsid w:val="001F0474"/>
    <w:rsid w:val="001F04AC"/>
    <w:rsid w:val="001F05FF"/>
    <w:rsid w:val="001F06A4"/>
    <w:rsid w:val="001F06DE"/>
    <w:rsid w:val="001F07E4"/>
    <w:rsid w:val="001F0850"/>
    <w:rsid w:val="001F0924"/>
    <w:rsid w:val="001F0B07"/>
    <w:rsid w:val="001F0B8B"/>
    <w:rsid w:val="001F0E96"/>
    <w:rsid w:val="001F0FC0"/>
    <w:rsid w:val="001F1014"/>
    <w:rsid w:val="001F11E1"/>
    <w:rsid w:val="001F12EA"/>
    <w:rsid w:val="001F1336"/>
    <w:rsid w:val="001F137A"/>
    <w:rsid w:val="001F1402"/>
    <w:rsid w:val="001F1527"/>
    <w:rsid w:val="001F15D7"/>
    <w:rsid w:val="001F1609"/>
    <w:rsid w:val="001F17BD"/>
    <w:rsid w:val="001F18A3"/>
    <w:rsid w:val="001F1B9C"/>
    <w:rsid w:val="001F1E0E"/>
    <w:rsid w:val="001F1E5A"/>
    <w:rsid w:val="001F1EAB"/>
    <w:rsid w:val="001F1FD3"/>
    <w:rsid w:val="001F2025"/>
    <w:rsid w:val="001F213D"/>
    <w:rsid w:val="001F2620"/>
    <w:rsid w:val="001F26CD"/>
    <w:rsid w:val="001F2763"/>
    <w:rsid w:val="001F27E3"/>
    <w:rsid w:val="001F28CB"/>
    <w:rsid w:val="001F2B3F"/>
    <w:rsid w:val="001F2F0F"/>
    <w:rsid w:val="001F3169"/>
    <w:rsid w:val="001F330E"/>
    <w:rsid w:val="001F3740"/>
    <w:rsid w:val="001F39C0"/>
    <w:rsid w:val="001F3B56"/>
    <w:rsid w:val="001F3BAF"/>
    <w:rsid w:val="001F3CEC"/>
    <w:rsid w:val="001F3D41"/>
    <w:rsid w:val="001F3F6B"/>
    <w:rsid w:val="001F3FE6"/>
    <w:rsid w:val="001F4208"/>
    <w:rsid w:val="001F4428"/>
    <w:rsid w:val="001F4430"/>
    <w:rsid w:val="001F445F"/>
    <w:rsid w:val="001F453C"/>
    <w:rsid w:val="001F45A6"/>
    <w:rsid w:val="001F4611"/>
    <w:rsid w:val="001F4727"/>
    <w:rsid w:val="001F472A"/>
    <w:rsid w:val="001F495F"/>
    <w:rsid w:val="001F4B09"/>
    <w:rsid w:val="001F4C8C"/>
    <w:rsid w:val="001F4F02"/>
    <w:rsid w:val="001F50DB"/>
    <w:rsid w:val="001F5271"/>
    <w:rsid w:val="001F55D5"/>
    <w:rsid w:val="001F5671"/>
    <w:rsid w:val="001F56B2"/>
    <w:rsid w:val="001F5733"/>
    <w:rsid w:val="001F58A4"/>
    <w:rsid w:val="001F5AC2"/>
    <w:rsid w:val="001F5BF4"/>
    <w:rsid w:val="001F5C25"/>
    <w:rsid w:val="001F5CB8"/>
    <w:rsid w:val="001F5E2C"/>
    <w:rsid w:val="001F5EAA"/>
    <w:rsid w:val="001F5FD7"/>
    <w:rsid w:val="001F606D"/>
    <w:rsid w:val="001F613A"/>
    <w:rsid w:val="001F632D"/>
    <w:rsid w:val="001F6526"/>
    <w:rsid w:val="001F6612"/>
    <w:rsid w:val="001F6648"/>
    <w:rsid w:val="001F6732"/>
    <w:rsid w:val="001F6899"/>
    <w:rsid w:val="001F6900"/>
    <w:rsid w:val="001F6A7B"/>
    <w:rsid w:val="001F6AA4"/>
    <w:rsid w:val="001F6C66"/>
    <w:rsid w:val="001F6E5C"/>
    <w:rsid w:val="001F6E97"/>
    <w:rsid w:val="001F6F68"/>
    <w:rsid w:val="001F7081"/>
    <w:rsid w:val="001F7334"/>
    <w:rsid w:val="001F7450"/>
    <w:rsid w:val="001F7471"/>
    <w:rsid w:val="001F74A0"/>
    <w:rsid w:val="001F76FB"/>
    <w:rsid w:val="001F7814"/>
    <w:rsid w:val="001F79C9"/>
    <w:rsid w:val="001F7A98"/>
    <w:rsid w:val="001F7C74"/>
    <w:rsid w:val="001F7DAF"/>
    <w:rsid w:val="001F7EAE"/>
    <w:rsid w:val="002000D0"/>
    <w:rsid w:val="002002BF"/>
    <w:rsid w:val="00200305"/>
    <w:rsid w:val="00200632"/>
    <w:rsid w:val="0020075C"/>
    <w:rsid w:val="00200808"/>
    <w:rsid w:val="00200898"/>
    <w:rsid w:val="00200992"/>
    <w:rsid w:val="00200A43"/>
    <w:rsid w:val="00200B0E"/>
    <w:rsid w:val="00200B73"/>
    <w:rsid w:val="00200C5B"/>
    <w:rsid w:val="00200C91"/>
    <w:rsid w:val="00200F24"/>
    <w:rsid w:val="00200F35"/>
    <w:rsid w:val="002010C4"/>
    <w:rsid w:val="00201296"/>
    <w:rsid w:val="00201411"/>
    <w:rsid w:val="0020161E"/>
    <w:rsid w:val="00201648"/>
    <w:rsid w:val="002017B2"/>
    <w:rsid w:val="00201A02"/>
    <w:rsid w:val="00201BB4"/>
    <w:rsid w:val="00201CAB"/>
    <w:rsid w:val="00201CF0"/>
    <w:rsid w:val="00201D0F"/>
    <w:rsid w:val="00201E62"/>
    <w:rsid w:val="00201E7B"/>
    <w:rsid w:val="00202010"/>
    <w:rsid w:val="0020211F"/>
    <w:rsid w:val="002021D2"/>
    <w:rsid w:val="002021E2"/>
    <w:rsid w:val="00202300"/>
    <w:rsid w:val="00202398"/>
    <w:rsid w:val="002023F7"/>
    <w:rsid w:val="00202414"/>
    <w:rsid w:val="0020241C"/>
    <w:rsid w:val="002024C2"/>
    <w:rsid w:val="002025E2"/>
    <w:rsid w:val="002026AB"/>
    <w:rsid w:val="002026DF"/>
    <w:rsid w:val="0020271D"/>
    <w:rsid w:val="002027BB"/>
    <w:rsid w:val="00202A49"/>
    <w:rsid w:val="00202BB8"/>
    <w:rsid w:val="00202DFB"/>
    <w:rsid w:val="00202E34"/>
    <w:rsid w:val="00202E68"/>
    <w:rsid w:val="00202EDF"/>
    <w:rsid w:val="002030F1"/>
    <w:rsid w:val="00203248"/>
    <w:rsid w:val="00203416"/>
    <w:rsid w:val="0020347C"/>
    <w:rsid w:val="0020354C"/>
    <w:rsid w:val="00203654"/>
    <w:rsid w:val="002037D0"/>
    <w:rsid w:val="002039DE"/>
    <w:rsid w:val="00203B26"/>
    <w:rsid w:val="00203D39"/>
    <w:rsid w:val="00203EC3"/>
    <w:rsid w:val="00203F52"/>
    <w:rsid w:val="00203F5F"/>
    <w:rsid w:val="00204354"/>
    <w:rsid w:val="00204374"/>
    <w:rsid w:val="00204380"/>
    <w:rsid w:val="00204495"/>
    <w:rsid w:val="00204552"/>
    <w:rsid w:val="00204608"/>
    <w:rsid w:val="00204768"/>
    <w:rsid w:val="002048B7"/>
    <w:rsid w:val="002049AB"/>
    <w:rsid w:val="00204A09"/>
    <w:rsid w:val="00204A10"/>
    <w:rsid w:val="00204B0C"/>
    <w:rsid w:val="00204B2C"/>
    <w:rsid w:val="00204E95"/>
    <w:rsid w:val="00204F5A"/>
    <w:rsid w:val="002050A2"/>
    <w:rsid w:val="0020515B"/>
    <w:rsid w:val="002055C0"/>
    <w:rsid w:val="002058E3"/>
    <w:rsid w:val="00205BA2"/>
    <w:rsid w:val="00205D37"/>
    <w:rsid w:val="00205D68"/>
    <w:rsid w:val="0020622E"/>
    <w:rsid w:val="00206449"/>
    <w:rsid w:val="00206729"/>
    <w:rsid w:val="00206D0C"/>
    <w:rsid w:val="00206D79"/>
    <w:rsid w:val="00206D9A"/>
    <w:rsid w:val="002071EC"/>
    <w:rsid w:val="00207568"/>
    <w:rsid w:val="00207859"/>
    <w:rsid w:val="002079CB"/>
    <w:rsid w:val="00207AC3"/>
    <w:rsid w:val="00207BF6"/>
    <w:rsid w:val="00210046"/>
    <w:rsid w:val="0021007C"/>
    <w:rsid w:val="002101E5"/>
    <w:rsid w:val="00210208"/>
    <w:rsid w:val="00210269"/>
    <w:rsid w:val="002102A3"/>
    <w:rsid w:val="002103E9"/>
    <w:rsid w:val="0021071E"/>
    <w:rsid w:val="00210888"/>
    <w:rsid w:val="00210A5A"/>
    <w:rsid w:val="00210A9C"/>
    <w:rsid w:val="00210AF9"/>
    <w:rsid w:val="00210CAB"/>
    <w:rsid w:val="00210D7D"/>
    <w:rsid w:val="00210DEF"/>
    <w:rsid w:val="00211002"/>
    <w:rsid w:val="00211111"/>
    <w:rsid w:val="002111A0"/>
    <w:rsid w:val="002113EA"/>
    <w:rsid w:val="00211B4C"/>
    <w:rsid w:val="00211DF3"/>
    <w:rsid w:val="00211E1B"/>
    <w:rsid w:val="002124F7"/>
    <w:rsid w:val="0021259F"/>
    <w:rsid w:val="002126C3"/>
    <w:rsid w:val="0021277B"/>
    <w:rsid w:val="0021296A"/>
    <w:rsid w:val="00212B81"/>
    <w:rsid w:val="00212EA0"/>
    <w:rsid w:val="00213104"/>
    <w:rsid w:val="002131B9"/>
    <w:rsid w:val="0021320B"/>
    <w:rsid w:val="00213251"/>
    <w:rsid w:val="0021326B"/>
    <w:rsid w:val="00213299"/>
    <w:rsid w:val="002132D2"/>
    <w:rsid w:val="00213397"/>
    <w:rsid w:val="0021343A"/>
    <w:rsid w:val="002136F9"/>
    <w:rsid w:val="00213AC2"/>
    <w:rsid w:val="00213CA6"/>
    <w:rsid w:val="00213CAA"/>
    <w:rsid w:val="002140E3"/>
    <w:rsid w:val="0021425C"/>
    <w:rsid w:val="002142A3"/>
    <w:rsid w:val="00214919"/>
    <w:rsid w:val="00214A1D"/>
    <w:rsid w:val="00214AB6"/>
    <w:rsid w:val="00214B47"/>
    <w:rsid w:val="00214C51"/>
    <w:rsid w:val="00215106"/>
    <w:rsid w:val="0021527E"/>
    <w:rsid w:val="00215609"/>
    <w:rsid w:val="0021576E"/>
    <w:rsid w:val="0021598F"/>
    <w:rsid w:val="00215DF3"/>
    <w:rsid w:val="00215EB0"/>
    <w:rsid w:val="0021606C"/>
    <w:rsid w:val="0021607C"/>
    <w:rsid w:val="00216358"/>
    <w:rsid w:val="002166FE"/>
    <w:rsid w:val="002167AE"/>
    <w:rsid w:val="002168F3"/>
    <w:rsid w:val="00216E40"/>
    <w:rsid w:val="00216F22"/>
    <w:rsid w:val="00216FF3"/>
    <w:rsid w:val="00217238"/>
    <w:rsid w:val="0021725F"/>
    <w:rsid w:val="00217467"/>
    <w:rsid w:val="002174A0"/>
    <w:rsid w:val="002179B7"/>
    <w:rsid w:val="00217B78"/>
    <w:rsid w:val="00217CF2"/>
    <w:rsid w:val="00217E11"/>
    <w:rsid w:val="00217F56"/>
    <w:rsid w:val="002200E9"/>
    <w:rsid w:val="002203BB"/>
    <w:rsid w:val="002203C1"/>
    <w:rsid w:val="002207E6"/>
    <w:rsid w:val="00220AE5"/>
    <w:rsid w:val="00220B3B"/>
    <w:rsid w:val="00221281"/>
    <w:rsid w:val="002212E4"/>
    <w:rsid w:val="00221346"/>
    <w:rsid w:val="002215FE"/>
    <w:rsid w:val="00221A24"/>
    <w:rsid w:val="00221A8F"/>
    <w:rsid w:val="00221B1A"/>
    <w:rsid w:val="00221CE2"/>
    <w:rsid w:val="00221EE4"/>
    <w:rsid w:val="0022221C"/>
    <w:rsid w:val="00222325"/>
    <w:rsid w:val="002223DC"/>
    <w:rsid w:val="0022243D"/>
    <w:rsid w:val="002224FE"/>
    <w:rsid w:val="00222777"/>
    <w:rsid w:val="0022279B"/>
    <w:rsid w:val="00222C2C"/>
    <w:rsid w:val="00222CBB"/>
    <w:rsid w:val="00222D42"/>
    <w:rsid w:val="00222F80"/>
    <w:rsid w:val="00223108"/>
    <w:rsid w:val="00223141"/>
    <w:rsid w:val="00223512"/>
    <w:rsid w:val="00223780"/>
    <w:rsid w:val="002237D7"/>
    <w:rsid w:val="0022383C"/>
    <w:rsid w:val="00223843"/>
    <w:rsid w:val="00223B07"/>
    <w:rsid w:val="00223DD0"/>
    <w:rsid w:val="00223E22"/>
    <w:rsid w:val="00223EDF"/>
    <w:rsid w:val="00223F05"/>
    <w:rsid w:val="00224066"/>
    <w:rsid w:val="00224116"/>
    <w:rsid w:val="00224195"/>
    <w:rsid w:val="002242FA"/>
    <w:rsid w:val="0022431E"/>
    <w:rsid w:val="002243CB"/>
    <w:rsid w:val="00224433"/>
    <w:rsid w:val="002246F6"/>
    <w:rsid w:val="00224CC6"/>
    <w:rsid w:val="00224CE4"/>
    <w:rsid w:val="00224E98"/>
    <w:rsid w:val="00225033"/>
    <w:rsid w:val="002251DA"/>
    <w:rsid w:val="0022549A"/>
    <w:rsid w:val="002256D0"/>
    <w:rsid w:val="002257D3"/>
    <w:rsid w:val="00225836"/>
    <w:rsid w:val="002258B9"/>
    <w:rsid w:val="002258DF"/>
    <w:rsid w:val="00225920"/>
    <w:rsid w:val="00225BFD"/>
    <w:rsid w:val="0022616A"/>
    <w:rsid w:val="002262D7"/>
    <w:rsid w:val="00226995"/>
    <w:rsid w:val="00226A12"/>
    <w:rsid w:val="00226A64"/>
    <w:rsid w:val="00226C12"/>
    <w:rsid w:val="00226D31"/>
    <w:rsid w:val="00226D5B"/>
    <w:rsid w:val="00226DF5"/>
    <w:rsid w:val="00226E7E"/>
    <w:rsid w:val="00226E9C"/>
    <w:rsid w:val="0022721A"/>
    <w:rsid w:val="00227543"/>
    <w:rsid w:val="002275F6"/>
    <w:rsid w:val="00227776"/>
    <w:rsid w:val="00227790"/>
    <w:rsid w:val="0022782E"/>
    <w:rsid w:val="00227867"/>
    <w:rsid w:val="002278A0"/>
    <w:rsid w:val="00227E7C"/>
    <w:rsid w:val="00227FA0"/>
    <w:rsid w:val="002300F6"/>
    <w:rsid w:val="0023067C"/>
    <w:rsid w:val="00230700"/>
    <w:rsid w:val="002308E4"/>
    <w:rsid w:val="00230987"/>
    <w:rsid w:val="00230A56"/>
    <w:rsid w:val="00230BED"/>
    <w:rsid w:val="00230DB1"/>
    <w:rsid w:val="00230E7B"/>
    <w:rsid w:val="00230ED3"/>
    <w:rsid w:val="002310C9"/>
    <w:rsid w:val="0023119F"/>
    <w:rsid w:val="00231293"/>
    <w:rsid w:val="00231480"/>
    <w:rsid w:val="00231528"/>
    <w:rsid w:val="002317FB"/>
    <w:rsid w:val="00231BA5"/>
    <w:rsid w:val="00231E9A"/>
    <w:rsid w:val="00231F1D"/>
    <w:rsid w:val="00231F45"/>
    <w:rsid w:val="00231FCC"/>
    <w:rsid w:val="00232033"/>
    <w:rsid w:val="0023207E"/>
    <w:rsid w:val="00232288"/>
    <w:rsid w:val="00232330"/>
    <w:rsid w:val="00232648"/>
    <w:rsid w:val="0023299D"/>
    <w:rsid w:val="00232A1D"/>
    <w:rsid w:val="00232A9A"/>
    <w:rsid w:val="00232BB6"/>
    <w:rsid w:val="00232C2D"/>
    <w:rsid w:val="00232D07"/>
    <w:rsid w:val="00233149"/>
    <w:rsid w:val="00233374"/>
    <w:rsid w:val="00233519"/>
    <w:rsid w:val="0023353A"/>
    <w:rsid w:val="002335A0"/>
    <w:rsid w:val="00233695"/>
    <w:rsid w:val="002337EB"/>
    <w:rsid w:val="00233857"/>
    <w:rsid w:val="00233A5C"/>
    <w:rsid w:val="00233D27"/>
    <w:rsid w:val="00233D52"/>
    <w:rsid w:val="00233E8F"/>
    <w:rsid w:val="00233F04"/>
    <w:rsid w:val="00234000"/>
    <w:rsid w:val="002341AD"/>
    <w:rsid w:val="002341D8"/>
    <w:rsid w:val="00234311"/>
    <w:rsid w:val="0023442C"/>
    <w:rsid w:val="00234A81"/>
    <w:rsid w:val="00234B1B"/>
    <w:rsid w:val="00234E10"/>
    <w:rsid w:val="00234F67"/>
    <w:rsid w:val="0023544A"/>
    <w:rsid w:val="002355E0"/>
    <w:rsid w:val="00235702"/>
    <w:rsid w:val="00235876"/>
    <w:rsid w:val="00235958"/>
    <w:rsid w:val="00235C16"/>
    <w:rsid w:val="00235EE0"/>
    <w:rsid w:val="002361F5"/>
    <w:rsid w:val="002363BD"/>
    <w:rsid w:val="00236444"/>
    <w:rsid w:val="00236455"/>
    <w:rsid w:val="00236464"/>
    <w:rsid w:val="00236501"/>
    <w:rsid w:val="0023650C"/>
    <w:rsid w:val="002365D8"/>
    <w:rsid w:val="002365E8"/>
    <w:rsid w:val="002366CE"/>
    <w:rsid w:val="0023700F"/>
    <w:rsid w:val="0023702C"/>
    <w:rsid w:val="002370F6"/>
    <w:rsid w:val="0023735D"/>
    <w:rsid w:val="00237385"/>
    <w:rsid w:val="002376B5"/>
    <w:rsid w:val="00237756"/>
    <w:rsid w:val="0023790B"/>
    <w:rsid w:val="002379EF"/>
    <w:rsid w:val="00237AB2"/>
    <w:rsid w:val="00237FAD"/>
    <w:rsid w:val="00240055"/>
    <w:rsid w:val="0024012F"/>
    <w:rsid w:val="0024018E"/>
    <w:rsid w:val="00240197"/>
    <w:rsid w:val="00240371"/>
    <w:rsid w:val="00240442"/>
    <w:rsid w:val="002404DE"/>
    <w:rsid w:val="002407C4"/>
    <w:rsid w:val="00240857"/>
    <w:rsid w:val="00240E6F"/>
    <w:rsid w:val="00240ED0"/>
    <w:rsid w:val="00241031"/>
    <w:rsid w:val="002410A7"/>
    <w:rsid w:val="00241114"/>
    <w:rsid w:val="002413E6"/>
    <w:rsid w:val="00241424"/>
    <w:rsid w:val="002417D6"/>
    <w:rsid w:val="00241826"/>
    <w:rsid w:val="00241859"/>
    <w:rsid w:val="002418E5"/>
    <w:rsid w:val="00241B86"/>
    <w:rsid w:val="00241BA8"/>
    <w:rsid w:val="00241BE7"/>
    <w:rsid w:val="00241C5D"/>
    <w:rsid w:val="00241D77"/>
    <w:rsid w:val="00241D9C"/>
    <w:rsid w:val="00241E7B"/>
    <w:rsid w:val="00241F27"/>
    <w:rsid w:val="002420BF"/>
    <w:rsid w:val="002420C5"/>
    <w:rsid w:val="00242259"/>
    <w:rsid w:val="002423CD"/>
    <w:rsid w:val="002424D9"/>
    <w:rsid w:val="0024254E"/>
    <w:rsid w:val="00242570"/>
    <w:rsid w:val="00242ACB"/>
    <w:rsid w:val="00242AEF"/>
    <w:rsid w:val="00242D04"/>
    <w:rsid w:val="00242FF3"/>
    <w:rsid w:val="002431A0"/>
    <w:rsid w:val="00243279"/>
    <w:rsid w:val="002433D4"/>
    <w:rsid w:val="00243829"/>
    <w:rsid w:val="00243893"/>
    <w:rsid w:val="002438C4"/>
    <w:rsid w:val="002438DB"/>
    <w:rsid w:val="00243C4E"/>
    <w:rsid w:val="00243D0E"/>
    <w:rsid w:val="00244258"/>
    <w:rsid w:val="0024426C"/>
    <w:rsid w:val="002442E1"/>
    <w:rsid w:val="0024453C"/>
    <w:rsid w:val="002448AA"/>
    <w:rsid w:val="00244B1C"/>
    <w:rsid w:val="00244BB8"/>
    <w:rsid w:val="00244BFD"/>
    <w:rsid w:val="00244DF2"/>
    <w:rsid w:val="00244FD0"/>
    <w:rsid w:val="00245382"/>
    <w:rsid w:val="00245504"/>
    <w:rsid w:val="00245579"/>
    <w:rsid w:val="00245715"/>
    <w:rsid w:val="0024587C"/>
    <w:rsid w:val="002459EA"/>
    <w:rsid w:val="00245F3A"/>
    <w:rsid w:val="0024605F"/>
    <w:rsid w:val="00246473"/>
    <w:rsid w:val="00246552"/>
    <w:rsid w:val="00246641"/>
    <w:rsid w:val="00246666"/>
    <w:rsid w:val="002466F8"/>
    <w:rsid w:val="00246B51"/>
    <w:rsid w:val="00246E38"/>
    <w:rsid w:val="00247037"/>
    <w:rsid w:val="002471AC"/>
    <w:rsid w:val="002471BF"/>
    <w:rsid w:val="002471D2"/>
    <w:rsid w:val="002471F6"/>
    <w:rsid w:val="0024724D"/>
    <w:rsid w:val="00247334"/>
    <w:rsid w:val="0024759D"/>
    <w:rsid w:val="002475CD"/>
    <w:rsid w:val="002475D2"/>
    <w:rsid w:val="0024761C"/>
    <w:rsid w:val="00247C5A"/>
    <w:rsid w:val="00247CAE"/>
    <w:rsid w:val="0025023B"/>
    <w:rsid w:val="002503F7"/>
    <w:rsid w:val="002504CB"/>
    <w:rsid w:val="0025063C"/>
    <w:rsid w:val="0025071E"/>
    <w:rsid w:val="00250810"/>
    <w:rsid w:val="002508D3"/>
    <w:rsid w:val="00250F6C"/>
    <w:rsid w:val="00251458"/>
    <w:rsid w:val="00251AEE"/>
    <w:rsid w:val="00251B3B"/>
    <w:rsid w:val="00251B96"/>
    <w:rsid w:val="00251BD5"/>
    <w:rsid w:val="00251BFB"/>
    <w:rsid w:val="00251D43"/>
    <w:rsid w:val="00251F9B"/>
    <w:rsid w:val="00252025"/>
    <w:rsid w:val="00252071"/>
    <w:rsid w:val="00252361"/>
    <w:rsid w:val="0025237D"/>
    <w:rsid w:val="00252730"/>
    <w:rsid w:val="002527B5"/>
    <w:rsid w:val="00252A55"/>
    <w:rsid w:val="00252EF9"/>
    <w:rsid w:val="002530D3"/>
    <w:rsid w:val="00253164"/>
    <w:rsid w:val="00253193"/>
    <w:rsid w:val="00253221"/>
    <w:rsid w:val="00253439"/>
    <w:rsid w:val="00253827"/>
    <w:rsid w:val="002538C0"/>
    <w:rsid w:val="00253C27"/>
    <w:rsid w:val="00253CCF"/>
    <w:rsid w:val="00253DEC"/>
    <w:rsid w:val="00253EBB"/>
    <w:rsid w:val="00254143"/>
    <w:rsid w:val="002541C9"/>
    <w:rsid w:val="002541F7"/>
    <w:rsid w:val="00254287"/>
    <w:rsid w:val="00254360"/>
    <w:rsid w:val="00254409"/>
    <w:rsid w:val="00254648"/>
    <w:rsid w:val="002547F7"/>
    <w:rsid w:val="00254AAB"/>
    <w:rsid w:val="00254AFD"/>
    <w:rsid w:val="00254C4B"/>
    <w:rsid w:val="00254C55"/>
    <w:rsid w:val="00254D78"/>
    <w:rsid w:val="00254DDE"/>
    <w:rsid w:val="00254E4B"/>
    <w:rsid w:val="00254FF5"/>
    <w:rsid w:val="00255057"/>
    <w:rsid w:val="00255059"/>
    <w:rsid w:val="0025521E"/>
    <w:rsid w:val="002552E9"/>
    <w:rsid w:val="002552F9"/>
    <w:rsid w:val="00255357"/>
    <w:rsid w:val="00255540"/>
    <w:rsid w:val="00255598"/>
    <w:rsid w:val="00255682"/>
    <w:rsid w:val="002556B6"/>
    <w:rsid w:val="0025570C"/>
    <w:rsid w:val="00255943"/>
    <w:rsid w:val="00255D76"/>
    <w:rsid w:val="00255F4E"/>
    <w:rsid w:val="00255F79"/>
    <w:rsid w:val="00255FF9"/>
    <w:rsid w:val="002560AF"/>
    <w:rsid w:val="002560E7"/>
    <w:rsid w:val="002560E8"/>
    <w:rsid w:val="00256365"/>
    <w:rsid w:val="002563B9"/>
    <w:rsid w:val="002567AB"/>
    <w:rsid w:val="0025693C"/>
    <w:rsid w:val="00256A69"/>
    <w:rsid w:val="00256C40"/>
    <w:rsid w:val="00256C59"/>
    <w:rsid w:val="00256D8B"/>
    <w:rsid w:val="00256DEE"/>
    <w:rsid w:val="00256E33"/>
    <w:rsid w:val="00256E9C"/>
    <w:rsid w:val="00256FE8"/>
    <w:rsid w:val="00257132"/>
    <w:rsid w:val="0025714D"/>
    <w:rsid w:val="00257369"/>
    <w:rsid w:val="002575B6"/>
    <w:rsid w:val="002575D7"/>
    <w:rsid w:val="00257716"/>
    <w:rsid w:val="00257905"/>
    <w:rsid w:val="00257AFB"/>
    <w:rsid w:val="00257BB8"/>
    <w:rsid w:val="00257BCC"/>
    <w:rsid w:val="00257D34"/>
    <w:rsid w:val="00257DF5"/>
    <w:rsid w:val="00257E0E"/>
    <w:rsid w:val="00257EB9"/>
    <w:rsid w:val="00257FE6"/>
    <w:rsid w:val="0026000D"/>
    <w:rsid w:val="002600AF"/>
    <w:rsid w:val="002601BC"/>
    <w:rsid w:val="00260576"/>
    <w:rsid w:val="00260700"/>
    <w:rsid w:val="00260AA9"/>
    <w:rsid w:val="00260AB6"/>
    <w:rsid w:val="00260B13"/>
    <w:rsid w:val="00260C54"/>
    <w:rsid w:val="00260EB8"/>
    <w:rsid w:val="00260F99"/>
    <w:rsid w:val="0026111E"/>
    <w:rsid w:val="00261175"/>
    <w:rsid w:val="002616BF"/>
    <w:rsid w:val="002616E3"/>
    <w:rsid w:val="0026189F"/>
    <w:rsid w:val="002619BF"/>
    <w:rsid w:val="00261BF8"/>
    <w:rsid w:val="00261C4A"/>
    <w:rsid w:val="00261CE5"/>
    <w:rsid w:val="002621CA"/>
    <w:rsid w:val="0026236B"/>
    <w:rsid w:val="00262375"/>
    <w:rsid w:val="002624CB"/>
    <w:rsid w:val="00262A52"/>
    <w:rsid w:val="00262A96"/>
    <w:rsid w:val="00262B0C"/>
    <w:rsid w:val="00262B39"/>
    <w:rsid w:val="00262BE0"/>
    <w:rsid w:val="00262FD4"/>
    <w:rsid w:val="002630C0"/>
    <w:rsid w:val="002630CB"/>
    <w:rsid w:val="002631FC"/>
    <w:rsid w:val="002633F0"/>
    <w:rsid w:val="00263964"/>
    <w:rsid w:val="00263BBF"/>
    <w:rsid w:val="00263BF2"/>
    <w:rsid w:val="00263D5E"/>
    <w:rsid w:val="00263DD9"/>
    <w:rsid w:val="00263F5D"/>
    <w:rsid w:val="00264183"/>
    <w:rsid w:val="00264366"/>
    <w:rsid w:val="002643FA"/>
    <w:rsid w:val="00264456"/>
    <w:rsid w:val="00264AEF"/>
    <w:rsid w:val="00264CEB"/>
    <w:rsid w:val="00264E64"/>
    <w:rsid w:val="00264ED6"/>
    <w:rsid w:val="00265109"/>
    <w:rsid w:val="002651E9"/>
    <w:rsid w:val="0026532F"/>
    <w:rsid w:val="0026536D"/>
    <w:rsid w:val="002653A3"/>
    <w:rsid w:val="0026546F"/>
    <w:rsid w:val="00265577"/>
    <w:rsid w:val="002657CE"/>
    <w:rsid w:val="00265A4F"/>
    <w:rsid w:val="00265AE2"/>
    <w:rsid w:val="00265BE3"/>
    <w:rsid w:val="00265CD6"/>
    <w:rsid w:val="00266068"/>
    <w:rsid w:val="002660AD"/>
    <w:rsid w:val="0026622F"/>
    <w:rsid w:val="00266303"/>
    <w:rsid w:val="002664DC"/>
    <w:rsid w:val="0026650F"/>
    <w:rsid w:val="00266514"/>
    <w:rsid w:val="002667AD"/>
    <w:rsid w:val="00266B5B"/>
    <w:rsid w:val="00266BC6"/>
    <w:rsid w:val="00266C3C"/>
    <w:rsid w:val="00266D08"/>
    <w:rsid w:val="00266EA1"/>
    <w:rsid w:val="00266F14"/>
    <w:rsid w:val="002673ED"/>
    <w:rsid w:val="0026740D"/>
    <w:rsid w:val="0026744E"/>
    <w:rsid w:val="002675BD"/>
    <w:rsid w:val="00267C4A"/>
    <w:rsid w:val="00267DFD"/>
    <w:rsid w:val="00270012"/>
    <w:rsid w:val="0027061B"/>
    <w:rsid w:val="00270850"/>
    <w:rsid w:val="00270A87"/>
    <w:rsid w:val="00270C9C"/>
    <w:rsid w:val="00270D36"/>
    <w:rsid w:val="00270E25"/>
    <w:rsid w:val="00270E42"/>
    <w:rsid w:val="00270ECD"/>
    <w:rsid w:val="00271127"/>
    <w:rsid w:val="0027117C"/>
    <w:rsid w:val="002715DC"/>
    <w:rsid w:val="0027166B"/>
    <w:rsid w:val="00271ADA"/>
    <w:rsid w:val="00271AE1"/>
    <w:rsid w:val="00271ED6"/>
    <w:rsid w:val="00272244"/>
    <w:rsid w:val="00272508"/>
    <w:rsid w:val="00272683"/>
    <w:rsid w:val="002728A0"/>
    <w:rsid w:val="002728EC"/>
    <w:rsid w:val="00272A06"/>
    <w:rsid w:val="00272BCA"/>
    <w:rsid w:val="00272E8B"/>
    <w:rsid w:val="00272F31"/>
    <w:rsid w:val="00272F77"/>
    <w:rsid w:val="00273014"/>
    <w:rsid w:val="00273429"/>
    <w:rsid w:val="0027350B"/>
    <w:rsid w:val="00273566"/>
    <w:rsid w:val="002735E6"/>
    <w:rsid w:val="002736FC"/>
    <w:rsid w:val="00273783"/>
    <w:rsid w:val="00273A89"/>
    <w:rsid w:val="00273AA6"/>
    <w:rsid w:val="00273AB2"/>
    <w:rsid w:val="00273E9F"/>
    <w:rsid w:val="00274196"/>
    <w:rsid w:val="002741B5"/>
    <w:rsid w:val="002741F2"/>
    <w:rsid w:val="00274452"/>
    <w:rsid w:val="0027448C"/>
    <w:rsid w:val="00274657"/>
    <w:rsid w:val="002746FB"/>
    <w:rsid w:val="00274C4F"/>
    <w:rsid w:val="00275248"/>
    <w:rsid w:val="00275995"/>
    <w:rsid w:val="00275B17"/>
    <w:rsid w:val="002760BC"/>
    <w:rsid w:val="002760FB"/>
    <w:rsid w:val="002761D0"/>
    <w:rsid w:val="002764D1"/>
    <w:rsid w:val="0027665B"/>
    <w:rsid w:val="002767C9"/>
    <w:rsid w:val="002767DF"/>
    <w:rsid w:val="00276891"/>
    <w:rsid w:val="002769F4"/>
    <w:rsid w:val="00276AD5"/>
    <w:rsid w:val="00276C67"/>
    <w:rsid w:val="00276C70"/>
    <w:rsid w:val="00276E30"/>
    <w:rsid w:val="00276E75"/>
    <w:rsid w:val="002773A9"/>
    <w:rsid w:val="00277519"/>
    <w:rsid w:val="0027758F"/>
    <w:rsid w:val="0027764B"/>
    <w:rsid w:val="002776E9"/>
    <w:rsid w:val="002776EA"/>
    <w:rsid w:val="0027774C"/>
    <w:rsid w:val="002777CC"/>
    <w:rsid w:val="00277833"/>
    <w:rsid w:val="00277869"/>
    <w:rsid w:val="0027789D"/>
    <w:rsid w:val="002778FF"/>
    <w:rsid w:val="002779B4"/>
    <w:rsid w:val="00277A58"/>
    <w:rsid w:val="00277BB2"/>
    <w:rsid w:val="00277C00"/>
    <w:rsid w:val="00277C84"/>
    <w:rsid w:val="00277E29"/>
    <w:rsid w:val="00277E50"/>
    <w:rsid w:val="002801F7"/>
    <w:rsid w:val="00280290"/>
    <w:rsid w:val="0028041E"/>
    <w:rsid w:val="00280427"/>
    <w:rsid w:val="0028061A"/>
    <w:rsid w:val="002806BC"/>
    <w:rsid w:val="002806F7"/>
    <w:rsid w:val="00280805"/>
    <w:rsid w:val="00280948"/>
    <w:rsid w:val="00280A77"/>
    <w:rsid w:val="00280B85"/>
    <w:rsid w:val="002811AF"/>
    <w:rsid w:val="00281249"/>
    <w:rsid w:val="00281380"/>
    <w:rsid w:val="0028140D"/>
    <w:rsid w:val="0028143F"/>
    <w:rsid w:val="002814F7"/>
    <w:rsid w:val="0028178A"/>
    <w:rsid w:val="002817E4"/>
    <w:rsid w:val="002819B0"/>
    <w:rsid w:val="00281AAC"/>
    <w:rsid w:val="00281E49"/>
    <w:rsid w:val="00281E90"/>
    <w:rsid w:val="00281FF0"/>
    <w:rsid w:val="0028202D"/>
    <w:rsid w:val="00282034"/>
    <w:rsid w:val="002822E2"/>
    <w:rsid w:val="00282403"/>
    <w:rsid w:val="0028278D"/>
    <w:rsid w:val="00282B49"/>
    <w:rsid w:val="00282B68"/>
    <w:rsid w:val="00282ECF"/>
    <w:rsid w:val="00283008"/>
    <w:rsid w:val="002830AF"/>
    <w:rsid w:val="002830FC"/>
    <w:rsid w:val="0028315D"/>
    <w:rsid w:val="00283313"/>
    <w:rsid w:val="002837A7"/>
    <w:rsid w:val="00283858"/>
    <w:rsid w:val="00283A60"/>
    <w:rsid w:val="00283AB4"/>
    <w:rsid w:val="00283AD3"/>
    <w:rsid w:val="00283BC1"/>
    <w:rsid w:val="00283C1E"/>
    <w:rsid w:val="00283DC5"/>
    <w:rsid w:val="0028401E"/>
    <w:rsid w:val="002840A8"/>
    <w:rsid w:val="00284238"/>
    <w:rsid w:val="00284288"/>
    <w:rsid w:val="00284354"/>
    <w:rsid w:val="002844D4"/>
    <w:rsid w:val="0028466B"/>
    <w:rsid w:val="00284706"/>
    <w:rsid w:val="00284AB1"/>
    <w:rsid w:val="00284AC7"/>
    <w:rsid w:val="002854A6"/>
    <w:rsid w:val="0028557A"/>
    <w:rsid w:val="00285846"/>
    <w:rsid w:val="002859A7"/>
    <w:rsid w:val="00285CFF"/>
    <w:rsid w:val="00285DD4"/>
    <w:rsid w:val="00285E76"/>
    <w:rsid w:val="00285F5A"/>
    <w:rsid w:val="002860BE"/>
    <w:rsid w:val="002861AD"/>
    <w:rsid w:val="002861C5"/>
    <w:rsid w:val="002862A2"/>
    <w:rsid w:val="0028632B"/>
    <w:rsid w:val="00286352"/>
    <w:rsid w:val="00286503"/>
    <w:rsid w:val="00286535"/>
    <w:rsid w:val="002865AB"/>
    <w:rsid w:val="0028696F"/>
    <w:rsid w:val="00286996"/>
    <w:rsid w:val="00286EDA"/>
    <w:rsid w:val="00286F67"/>
    <w:rsid w:val="002870E7"/>
    <w:rsid w:val="0028712A"/>
    <w:rsid w:val="00287309"/>
    <w:rsid w:val="0028730F"/>
    <w:rsid w:val="00287333"/>
    <w:rsid w:val="00287731"/>
    <w:rsid w:val="002877F2"/>
    <w:rsid w:val="00287D97"/>
    <w:rsid w:val="00287E1C"/>
    <w:rsid w:val="00287EA1"/>
    <w:rsid w:val="00287FFB"/>
    <w:rsid w:val="0029005D"/>
    <w:rsid w:val="002900E8"/>
    <w:rsid w:val="00290362"/>
    <w:rsid w:val="0029041E"/>
    <w:rsid w:val="0029053E"/>
    <w:rsid w:val="00290654"/>
    <w:rsid w:val="002907B7"/>
    <w:rsid w:val="00290879"/>
    <w:rsid w:val="0029091A"/>
    <w:rsid w:val="00290A10"/>
    <w:rsid w:val="00290C78"/>
    <w:rsid w:val="00290D36"/>
    <w:rsid w:val="00290E36"/>
    <w:rsid w:val="00290E45"/>
    <w:rsid w:val="0029112F"/>
    <w:rsid w:val="0029113C"/>
    <w:rsid w:val="00291203"/>
    <w:rsid w:val="00291216"/>
    <w:rsid w:val="00291254"/>
    <w:rsid w:val="00291463"/>
    <w:rsid w:val="00291824"/>
    <w:rsid w:val="00291A67"/>
    <w:rsid w:val="00291BDA"/>
    <w:rsid w:val="00291C3E"/>
    <w:rsid w:val="00291E2C"/>
    <w:rsid w:val="00291E39"/>
    <w:rsid w:val="00291F0E"/>
    <w:rsid w:val="002921AC"/>
    <w:rsid w:val="0029225C"/>
    <w:rsid w:val="002922F0"/>
    <w:rsid w:val="002922F4"/>
    <w:rsid w:val="00292515"/>
    <w:rsid w:val="00292696"/>
    <w:rsid w:val="002926A0"/>
    <w:rsid w:val="00292864"/>
    <w:rsid w:val="0029286E"/>
    <w:rsid w:val="0029292B"/>
    <w:rsid w:val="00292B46"/>
    <w:rsid w:val="00292C72"/>
    <w:rsid w:val="00292E44"/>
    <w:rsid w:val="00292ECA"/>
    <w:rsid w:val="0029310D"/>
    <w:rsid w:val="0029316A"/>
    <w:rsid w:val="002933AB"/>
    <w:rsid w:val="00293487"/>
    <w:rsid w:val="002934AF"/>
    <w:rsid w:val="00293685"/>
    <w:rsid w:val="002937C0"/>
    <w:rsid w:val="00293802"/>
    <w:rsid w:val="00293845"/>
    <w:rsid w:val="00293883"/>
    <w:rsid w:val="002939F6"/>
    <w:rsid w:val="00293A73"/>
    <w:rsid w:val="00293B6F"/>
    <w:rsid w:val="00293F8C"/>
    <w:rsid w:val="00294248"/>
    <w:rsid w:val="0029451A"/>
    <w:rsid w:val="0029451B"/>
    <w:rsid w:val="002946A6"/>
    <w:rsid w:val="002948F5"/>
    <w:rsid w:val="0029498D"/>
    <w:rsid w:val="002949DA"/>
    <w:rsid w:val="00294B7E"/>
    <w:rsid w:val="00294CC2"/>
    <w:rsid w:val="00294CC9"/>
    <w:rsid w:val="00294E59"/>
    <w:rsid w:val="00294EF0"/>
    <w:rsid w:val="002951F8"/>
    <w:rsid w:val="0029528B"/>
    <w:rsid w:val="002952F9"/>
    <w:rsid w:val="00295381"/>
    <w:rsid w:val="0029549F"/>
    <w:rsid w:val="0029555F"/>
    <w:rsid w:val="0029570A"/>
    <w:rsid w:val="002957DB"/>
    <w:rsid w:val="00295887"/>
    <w:rsid w:val="00295C17"/>
    <w:rsid w:val="00295D5C"/>
    <w:rsid w:val="00295E2F"/>
    <w:rsid w:val="00295EB5"/>
    <w:rsid w:val="00295F24"/>
    <w:rsid w:val="00296070"/>
    <w:rsid w:val="0029617E"/>
    <w:rsid w:val="002962BF"/>
    <w:rsid w:val="002963D7"/>
    <w:rsid w:val="002964BE"/>
    <w:rsid w:val="002965F3"/>
    <w:rsid w:val="00296703"/>
    <w:rsid w:val="00296770"/>
    <w:rsid w:val="002967E0"/>
    <w:rsid w:val="00296814"/>
    <w:rsid w:val="002968E6"/>
    <w:rsid w:val="0029694C"/>
    <w:rsid w:val="00296B0C"/>
    <w:rsid w:val="00296C6D"/>
    <w:rsid w:val="00296CC0"/>
    <w:rsid w:val="00296D17"/>
    <w:rsid w:val="00296D77"/>
    <w:rsid w:val="00296F2F"/>
    <w:rsid w:val="00296F34"/>
    <w:rsid w:val="0029723A"/>
    <w:rsid w:val="002973E2"/>
    <w:rsid w:val="002973E4"/>
    <w:rsid w:val="0029746F"/>
    <w:rsid w:val="0029751F"/>
    <w:rsid w:val="00297730"/>
    <w:rsid w:val="00297860"/>
    <w:rsid w:val="00297AE9"/>
    <w:rsid w:val="00297C58"/>
    <w:rsid w:val="00297D50"/>
    <w:rsid w:val="00297DD4"/>
    <w:rsid w:val="00297DF9"/>
    <w:rsid w:val="00297EB1"/>
    <w:rsid w:val="002A0147"/>
    <w:rsid w:val="002A016A"/>
    <w:rsid w:val="002A0761"/>
    <w:rsid w:val="002A0888"/>
    <w:rsid w:val="002A09D6"/>
    <w:rsid w:val="002A0A63"/>
    <w:rsid w:val="002A0E94"/>
    <w:rsid w:val="002A0F98"/>
    <w:rsid w:val="002A0FB7"/>
    <w:rsid w:val="002A0FD5"/>
    <w:rsid w:val="002A10D0"/>
    <w:rsid w:val="002A134C"/>
    <w:rsid w:val="002A1428"/>
    <w:rsid w:val="002A14ED"/>
    <w:rsid w:val="002A18DE"/>
    <w:rsid w:val="002A1CA1"/>
    <w:rsid w:val="002A1D7D"/>
    <w:rsid w:val="002A1D82"/>
    <w:rsid w:val="002A2032"/>
    <w:rsid w:val="002A2045"/>
    <w:rsid w:val="002A20D4"/>
    <w:rsid w:val="002A2188"/>
    <w:rsid w:val="002A21A5"/>
    <w:rsid w:val="002A21FE"/>
    <w:rsid w:val="002A23C5"/>
    <w:rsid w:val="002A24C1"/>
    <w:rsid w:val="002A2A47"/>
    <w:rsid w:val="002A2B90"/>
    <w:rsid w:val="002A3199"/>
    <w:rsid w:val="002A31A9"/>
    <w:rsid w:val="002A32DD"/>
    <w:rsid w:val="002A34FE"/>
    <w:rsid w:val="002A355A"/>
    <w:rsid w:val="002A35DA"/>
    <w:rsid w:val="002A3754"/>
    <w:rsid w:val="002A3BBF"/>
    <w:rsid w:val="002A435A"/>
    <w:rsid w:val="002A4461"/>
    <w:rsid w:val="002A4599"/>
    <w:rsid w:val="002A45BE"/>
    <w:rsid w:val="002A461F"/>
    <w:rsid w:val="002A4687"/>
    <w:rsid w:val="002A471B"/>
    <w:rsid w:val="002A4C6F"/>
    <w:rsid w:val="002A4EB1"/>
    <w:rsid w:val="002A4FE3"/>
    <w:rsid w:val="002A5418"/>
    <w:rsid w:val="002A5466"/>
    <w:rsid w:val="002A55BA"/>
    <w:rsid w:val="002A571C"/>
    <w:rsid w:val="002A5A65"/>
    <w:rsid w:val="002A5CBA"/>
    <w:rsid w:val="002A5DF5"/>
    <w:rsid w:val="002A6077"/>
    <w:rsid w:val="002A60DC"/>
    <w:rsid w:val="002A6145"/>
    <w:rsid w:val="002A6882"/>
    <w:rsid w:val="002A6AFD"/>
    <w:rsid w:val="002A6BD9"/>
    <w:rsid w:val="002A6C29"/>
    <w:rsid w:val="002A6C84"/>
    <w:rsid w:val="002A7039"/>
    <w:rsid w:val="002A7281"/>
    <w:rsid w:val="002A7371"/>
    <w:rsid w:val="002A7423"/>
    <w:rsid w:val="002A7556"/>
    <w:rsid w:val="002A7579"/>
    <w:rsid w:val="002A7597"/>
    <w:rsid w:val="002A780B"/>
    <w:rsid w:val="002A7852"/>
    <w:rsid w:val="002A7856"/>
    <w:rsid w:val="002A7999"/>
    <w:rsid w:val="002A7ABC"/>
    <w:rsid w:val="002A7BC9"/>
    <w:rsid w:val="002A7C12"/>
    <w:rsid w:val="002A7C5D"/>
    <w:rsid w:val="002A7D52"/>
    <w:rsid w:val="002A7E10"/>
    <w:rsid w:val="002A7F68"/>
    <w:rsid w:val="002B01AE"/>
    <w:rsid w:val="002B01F7"/>
    <w:rsid w:val="002B0204"/>
    <w:rsid w:val="002B05FE"/>
    <w:rsid w:val="002B0C01"/>
    <w:rsid w:val="002B0DE7"/>
    <w:rsid w:val="002B0F94"/>
    <w:rsid w:val="002B10DB"/>
    <w:rsid w:val="002B11C1"/>
    <w:rsid w:val="002B11EF"/>
    <w:rsid w:val="002B1341"/>
    <w:rsid w:val="002B152D"/>
    <w:rsid w:val="002B1588"/>
    <w:rsid w:val="002B1708"/>
    <w:rsid w:val="002B1927"/>
    <w:rsid w:val="002B1928"/>
    <w:rsid w:val="002B19F2"/>
    <w:rsid w:val="002B1A17"/>
    <w:rsid w:val="002B1AA7"/>
    <w:rsid w:val="002B1AD5"/>
    <w:rsid w:val="002B1E51"/>
    <w:rsid w:val="002B1EBF"/>
    <w:rsid w:val="002B1FE9"/>
    <w:rsid w:val="002B23BE"/>
    <w:rsid w:val="002B23CD"/>
    <w:rsid w:val="002B246D"/>
    <w:rsid w:val="002B249F"/>
    <w:rsid w:val="002B260A"/>
    <w:rsid w:val="002B26A4"/>
    <w:rsid w:val="002B284C"/>
    <w:rsid w:val="002B2914"/>
    <w:rsid w:val="002B2A7D"/>
    <w:rsid w:val="002B2B37"/>
    <w:rsid w:val="002B2B4B"/>
    <w:rsid w:val="002B2BE8"/>
    <w:rsid w:val="002B2C3B"/>
    <w:rsid w:val="002B2CAA"/>
    <w:rsid w:val="002B2D82"/>
    <w:rsid w:val="002B2F25"/>
    <w:rsid w:val="002B3133"/>
    <w:rsid w:val="002B31E0"/>
    <w:rsid w:val="002B329E"/>
    <w:rsid w:val="002B3593"/>
    <w:rsid w:val="002B366B"/>
    <w:rsid w:val="002B3868"/>
    <w:rsid w:val="002B3BB5"/>
    <w:rsid w:val="002B3E7D"/>
    <w:rsid w:val="002B3E99"/>
    <w:rsid w:val="002B3ED2"/>
    <w:rsid w:val="002B4097"/>
    <w:rsid w:val="002B42D6"/>
    <w:rsid w:val="002B4428"/>
    <w:rsid w:val="002B4647"/>
    <w:rsid w:val="002B4846"/>
    <w:rsid w:val="002B499E"/>
    <w:rsid w:val="002B49AE"/>
    <w:rsid w:val="002B4A97"/>
    <w:rsid w:val="002B4AE8"/>
    <w:rsid w:val="002B4C48"/>
    <w:rsid w:val="002B4F12"/>
    <w:rsid w:val="002B527C"/>
    <w:rsid w:val="002B52B2"/>
    <w:rsid w:val="002B52C7"/>
    <w:rsid w:val="002B538D"/>
    <w:rsid w:val="002B5404"/>
    <w:rsid w:val="002B545C"/>
    <w:rsid w:val="002B548E"/>
    <w:rsid w:val="002B560F"/>
    <w:rsid w:val="002B561E"/>
    <w:rsid w:val="002B56FF"/>
    <w:rsid w:val="002B5735"/>
    <w:rsid w:val="002B5855"/>
    <w:rsid w:val="002B58AD"/>
    <w:rsid w:val="002B58B7"/>
    <w:rsid w:val="002B58BD"/>
    <w:rsid w:val="002B5B44"/>
    <w:rsid w:val="002B5C8D"/>
    <w:rsid w:val="002B5CF2"/>
    <w:rsid w:val="002B5F66"/>
    <w:rsid w:val="002B5FE2"/>
    <w:rsid w:val="002B604A"/>
    <w:rsid w:val="002B60F5"/>
    <w:rsid w:val="002B6174"/>
    <w:rsid w:val="002B61F3"/>
    <w:rsid w:val="002B6471"/>
    <w:rsid w:val="002B647B"/>
    <w:rsid w:val="002B649C"/>
    <w:rsid w:val="002B6674"/>
    <w:rsid w:val="002B6923"/>
    <w:rsid w:val="002B694E"/>
    <w:rsid w:val="002B6986"/>
    <w:rsid w:val="002B6A02"/>
    <w:rsid w:val="002B6E51"/>
    <w:rsid w:val="002B6EAF"/>
    <w:rsid w:val="002B6EBB"/>
    <w:rsid w:val="002B709C"/>
    <w:rsid w:val="002B7604"/>
    <w:rsid w:val="002B775B"/>
    <w:rsid w:val="002B784B"/>
    <w:rsid w:val="002B78AA"/>
    <w:rsid w:val="002B7A26"/>
    <w:rsid w:val="002B7CA5"/>
    <w:rsid w:val="002B7CBA"/>
    <w:rsid w:val="002B7FBD"/>
    <w:rsid w:val="002C013D"/>
    <w:rsid w:val="002C027F"/>
    <w:rsid w:val="002C04DD"/>
    <w:rsid w:val="002C04E9"/>
    <w:rsid w:val="002C0B33"/>
    <w:rsid w:val="002C0DEE"/>
    <w:rsid w:val="002C0E05"/>
    <w:rsid w:val="002C10FE"/>
    <w:rsid w:val="002C12C6"/>
    <w:rsid w:val="002C147E"/>
    <w:rsid w:val="002C14B0"/>
    <w:rsid w:val="002C168B"/>
    <w:rsid w:val="002C1799"/>
    <w:rsid w:val="002C180F"/>
    <w:rsid w:val="002C184E"/>
    <w:rsid w:val="002C1A1A"/>
    <w:rsid w:val="002C1A51"/>
    <w:rsid w:val="002C1B89"/>
    <w:rsid w:val="002C214D"/>
    <w:rsid w:val="002C228F"/>
    <w:rsid w:val="002C2562"/>
    <w:rsid w:val="002C25D8"/>
    <w:rsid w:val="002C2792"/>
    <w:rsid w:val="002C2A4F"/>
    <w:rsid w:val="002C2BAD"/>
    <w:rsid w:val="002C2CCC"/>
    <w:rsid w:val="002C30E7"/>
    <w:rsid w:val="002C325D"/>
    <w:rsid w:val="002C3277"/>
    <w:rsid w:val="002C32A3"/>
    <w:rsid w:val="002C32C4"/>
    <w:rsid w:val="002C3662"/>
    <w:rsid w:val="002C3696"/>
    <w:rsid w:val="002C39E7"/>
    <w:rsid w:val="002C3AAC"/>
    <w:rsid w:val="002C3B68"/>
    <w:rsid w:val="002C3BE2"/>
    <w:rsid w:val="002C3C64"/>
    <w:rsid w:val="002C3D1F"/>
    <w:rsid w:val="002C3E2F"/>
    <w:rsid w:val="002C401E"/>
    <w:rsid w:val="002C403C"/>
    <w:rsid w:val="002C42BB"/>
    <w:rsid w:val="002C43D7"/>
    <w:rsid w:val="002C4546"/>
    <w:rsid w:val="002C46CB"/>
    <w:rsid w:val="002C478F"/>
    <w:rsid w:val="002C4809"/>
    <w:rsid w:val="002C482C"/>
    <w:rsid w:val="002C495A"/>
    <w:rsid w:val="002C4DA1"/>
    <w:rsid w:val="002C51CD"/>
    <w:rsid w:val="002C5258"/>
    <w:rsid w:val="002C536A"/>
    <w:rsid w:val="002C53F9"/>
    <w:rsid w:val="002C541B"/>
    <w:rsid w:val="002C58C5"/>
    <w:rsid w:val="002C5C66"/>
    <w:rsid w:val="002C5D73"/>
    <w:rsid w:val="002C5D78"/>
    <w:rsid w:val="002C5E21"/>
    <w:rsid w:val="002C5E81"/>
    <w:rsid w:val="002C5EB9"/>
    <w:rsid w:val="002C5F5B"/>
    <w:rsid w:val="002C6237"/>
    <w:rsid w:val="002C6644"/>
    <w:rsid w:val="002C66B1"/>
    <w:rsid w:val="002C677F"/>
    <w:rsid w:val="002C68CC"/>
    <w:rsid w:val="002C68DC"/>
    <w:rsid w:val="002C6C58"/>
    <w:rsid w:val="002C6D31"/>
    <w:rsid w:val="002C6EF0"/>
    <w:rsid w:val="002C7067"/>
    <w:rsid w:val="002C720D"/>
    <w:rsid w:val="002C74B1"/>
    <w:rsid w:val="002C76D7"/>
    <w:rsid w:val="002C7954"/>
    <w:rsid w:val="002C7C8E"/>
    <w:rsid w:val="002C7DCC"/>
    <w:rsid w:val="002C7E06"/>
    <w:rsid w:val="002C7E9C"/>
    <w:rsid w:val="002C7F69"/>
    <w:rsid w:val="002C7FA5"/>
    <w:rsid w:val="002C7FCD"/>
    <w:rsid w:val="002D0055"/>
    <w:rsid w:val="002D0209"/>
    <w:rsid w:val="002D04DF"/>
    <w:rsid w:val="002D077D"/>
    <w:rsid w:val="002D0952"/>
    <w:rsid w:val="002D098B"/>
    <w:rsid w:val="002D0B7E"/>
    <w:rsid w:val="002D0BED"/>
    <w:rsid w:val="002D10BF"/>
    <w:rsid w:val="002D1102"/>
    <w:rsid w:val="002D166F"/>
    <w:rsid w:val="002D1860"/>
    <w:rsid w:val="002D19C9"/>
    <w:rsid w:val="002D1C41"/>
    <w:rsid w:val="002D1E5A"/>
    <w:rsid w:val="002D21E9"/>
    <w:rsid w:val="002D2242"/>
    <w:rsid w:val="002D2277"/>
    <w:rsid w:val="002D23E9"/>
    <w:rsid w:val="002D24B1"/>
    <w:rsid w:val="002D24E2"/>
    <w:rsid w:val="002D262E"/>
    <w:rsid w:val="002D2832"/>
    <w:rsid w:val="002D284C"/>
    <w:rsid w:val="002D286C"/>
    <w:rsid w:val="002D2894"/>
    <w:rsid w:val="002D289E"/>
    <w:rsid w:val="002D2950"/>
    <w:rsid w:val="002D2AE3"/>
    <w:rsid w:val="002D2E53"/>
    <w:rsid w:val="002D31C5"/>
    <w:rsid w:val="002D3840"/>
    <w:rsid w:val="002D38E6"/>
    <w:rsid w:val="002D3A40"/>
    <w:rsid w:val="002D3A75"/>
    <w:rsid w:val="002D3C2B"/>
    <w:rsid w:val="002D3D2D"/>
    <w:rsid w:val="002D3D45"/>
    <w:rsid w:val="002D3D6A"/>
    <w:rsid w:val="002D3EBA"/>
    <w:rsid w:val="002D4409"/>
    <w:rsid w:val="002D4484"/>
    <w:rsid w:val="002D46A4"/>
    <w:rsid w:val="002D46C1"/>
    <w:rsid w:val="002D46F7"/>
    <w:rsid w:val="002D47F2"/>
    <w:rsid w:val="002D4835"/>
    <w:rsid w:val="002D48A7"/>
    <w:rsid w:val="002D4A4C"/>
    <w:rsid w:val="002D4EC7"/>
    <w:rsid w:val="002D501A"/>
    <w:rsid w:val="002D5167"/>
    <w:rsid w:val="002D5437"/>
    <w:rsid w:val="002D550C"/>
    <w:rsid w:val="002D552A"/>
    <w:rsid w:val="002D56E6"/>
    <w:rsid w:val="002D570F"/>
    <w:rsid w:val="002D5733"/>
    <w:rsid w:val="002D584E"/>
    <w:rsid w:val="002D59A0"/>
    <w:rsid w:val="002D59C7"/>
    <w:rsid w:val="002D5C45"/>
    <w:rsid w:val="002D5DDB"/>
    <w:rsid w:val="002D62DA"/>
    <w:rsid w:val="002D6301"/>
    <w:rsid w:val="002D648F"/>
    <w:rsid w:val="002D654F"/>
    <w:rsid w:val="002D6579"/>
    <w:rsid w:val="002D6810"/>
    <w:rsid w:val="002D6965"/>
    <w:rsid w:val="002D69CB"/>
    <w:rsid w:val="002D6AA5"/>
    <w:rsid w:val="002D6D60"/>
    <w:rsid w:val="002D6E70"/>
    <w:rsid w:val="002D7140"/>
    <w:rsid w:val="002D719B"/>
    <w:rsid w:val="002D71AA"/>
    <w:rsid w:val="002D790A"/>
    <w:rsid w:val="002D7B5E"/>
    <w:rsid w:val="002D7FDE"/>
    <w:rsid w:val="002D7FDF"/>
    <w:rsid w:val="002E0567"/>
    <w:rsid w:val="002E08C5"/>
    <w:rsid w:val="002E0E85"/>
    <w:rsid w:val="002E0E86"/>
    <w:rsid w:val="002E1022"/>
    <w:rsid w:val="002E103F"/>
    <w:rsid w:val="002E1219"/>
    <w:rsid w:val="002E130C"/>
    <w:rsid w:val="002E136C"/>
    <w:rsid w:val="002E13CB"/>
    <w:rsid w:val="002E1458"/>
    <w:rsid w:val="002E1543"/>
    <w:rsid w:val="002E1576"/>
    <w:rsid w:val="002E1670"/>
    <w:rsid w:val="002E176A"/>
    <w:rsid w:val="002E1D07"/>
    <w:rsid w:val="002E1DC5"/>
    <w:rsid w:val="002E1DF1"/>
    <w:rsid w:val="002E1E3C"/>
    <w:rsid w:val="002E1F71"/>
    <w:rsid w:val="002E1FD6"/>
    <w:rsid w:val="002E21E5"/>
    <w:rsid w:val="002E222D"/>
    <w:rsid w:val="002E227D"/>
    <w:rsid w:val="002E2316"/>
    <w:rsid w:val="002E2339"/>
    <w:rsid w:val="002E24B1"/>
    <w:rsid w:val="002E26CF"/>
    <w:rsid w:val="002E2867"/>
    <w:rsid w:val="002E292B"/>
    <w:rsid w:val="002E297A"/>
    <w:rsid w:val="002E2E76"/>
    <w:rsid w:val="002E304C"/>
    <w:rsid w:val="002E31A5"/>
    <w:rsid w:val="002E3335"/>
    <w:rsid w:val="002E33BC"/>
    <w:rsid w:val="002E34E6"/>
    <w:rsid w:val="002E3957"/>
    <w:rsid w:val="002E3A3B"/>
    <w:rsid w:val="002E3B49"/>
    <w:rsid w:val="002E3BA6"/>
    <w:rsid w:val="002E3BAC"/>
    <w:rsid w:val="002E4265"/>
    <w:rsid w:val="002E448F"/>
    <w:rsid w:val="002E4635"/>
    <w:rsid w:val="002E4813"/>
    <w:rsid w:val="002E486B"/>
    <w:rsid w:val="002E4B50"/>
    <w:rsid w:val="002E5000"/>
    <w:rsid w:val="002E501E"/>
    <w:rsid w:val="002E5078"/>
    <w:rsid w:val="002E508E"/>
    <w:rsid w:val="002E513C"/>
    <w:rsid w:val="002E5932"/>
    <w:rsid w:val="002E598F"/>
    <w:rsid w:val="002E59E5"/>
    <w:rsid w:val="002E59F3"/>
    <w:rsid w:val="002E5CB3"/>
    <w:rsid w:val="002E5CF4"/>
    <w:rsid w:val="002E5D87"/>
    <w:rsid w:val="002E5ED3"/>
    <w:rsid w:val="002E5FDD"/>
    <w:rsid w:val="002E606E"/>
    <w:rsid w:val="002E60D2"/>
    <w:rsid w:val="002E6302"/>
    <w:rsid w:val="002E636E"/>
    <w:rsid w:val="002E6443"/>
    <w:rsid w:val="002E6461"/>
    <w:rsid w:val="002E66F5"/>
    <w:rsid w:val="002E6A5B"/>
    <w:rsid w:val="002E6C1C"/>
    <w:rsid w:val="002E6F4C"/>
    <w:rsid w:val="002E6F8A"/>
    <w:rsid w:val="002E7224"/>
    <w:rsid w:val="002E737C"/>
    <w:rsid w:val="002E7615"/>
    <w:rsid w:val="002E7854"/>
    <w:rsid w:val="002E7A49"/>
    <w:rsid w:val="002E7D0E"/>
    <w:rsid w:val="002F0457"/>
    <w:rsid w:val="002F04ED"/>
    <w:rsid w:val="002F062B"/>
    <w:rsid w:val="002F063B"/>
    <w:rsid w:val="002F0697"/>
    <w:rsid w:val="002F080A"/>
    <w:rsid w:val="002F084E"/>
    <w:rsid w:val="002F0A05"/>
    <w:rsid w:val="002F0BAB"/>
    <w:rsid w:val="002F0FA4"/>
    <w:rsid w:val="002F1013"/>
    <w:rsid w:val="002F121C"/>
    <w:rsid w:val="002F1339"/>
    <w:rsid w:val="002F158C"/>
    <w:rsid w:val="002F17C4"/>
    <w:rsid w:val="002F17C9"/>
    <w:rsid w:val="002F185E"/>
    <w:rsid w:val="002F1864"/>
    <w:rsid w:val="002F1931"/>
    <w:rsid w:val="002F1936"/>
    <w:rsid w:val="002F1B0D"/>
    <w:rsid w:val="002F1BC8"/>
    <w:rsid w:val="002F1CA3"/>
    <w:rsid w:val="002F1DD5"/>
    <w:rsid w:val="002F1F42"/>
    <w:rsid w:val="002F1F9C"/>
    <w:rsid w:val="002F20B6"/>
    <w:rsid w:val="002F2252"/>
    <w:rsid w:val="002F236C"/>
    <w:rsid w:val="002F259E"/>
    <w:rsid w:val="002F27AB"/>
    <w:rsid w:val="002F281A"/>
    <w:rsid w:val="002F2CD4"/>
    <w:rsid w:val="002F2D8D"/>
    <w:rsid w:val="002F345F"/>
    <w:rsid w:val="002F3610"/>
    <w:rsid w:val="002F39A6"/>
    <w:rsid w:val="002F3B25"/>
    <w:rsid w:val="002F3EBD"/>
    <w:rsid w:val="002F41C3"/>
    <w:rsid w:val="002F42D8"/>
    <w:rsid w:val="002F439F"/>
    <w:rsid w:val="002F4587"/>
    <w:rsid w:val="002F45DD"/>
    <w:rsid w:val="002F490A"/>
    <w:rsid w:val="002F49D5"/>
    <w:rsid w:val="002F50F2"/>
    <w:rsid w:val="002F51E7"/>
    <w:rsid w:val="002F52CA"/>
    <w:rsid w:val="002F56C2"/>
    <w:rsid w:val="002F56ED"/>
    <w:rsid w:val="002F599B"/>
    <w:rsid w:val="002F5D81"/>
    <w:rsid w:val="002F61E7"/>
    <w:rsid w:val="002F61F6"/>
    <w:rsid w:val="002F6307"/>
    <w:rsid w:val="002F6466"/>
    <w:rsid w:val="002F6829"/>
    <w:rsid w:val="002F6FE0"/>
    <w:rsid w:val="002F7078"/>
    <w:rsid w:val="002F7393"/>
    <w:rsid w:val="002F7454"/>
    <w:rsid w:val="002F7489"/>
    <w:rsid w:val="002F76B6"/>
    <w:rsid w:val="002F7A9F"/>
    <w:rsid w:val="002F7D1E"/>
    <w:rsid w:val="002F7DEF"/>
    <w:rsid w:val="00300529"/>
    <w:rsid w:val="00300540"/>
    <w:rsid w:val="00300552"/>
    <w:rsid w:val="00300702"/>
    <w:rsid w:val="00300A13"/>
    <w:rsid w:val="00300AD9"/>
    <w:rsid w:val="00300C56"/>
    <w:rsid w:val="00301306"/>
    <w:rsid w:val="00301498"/>
    <w:rsid w:val="003014B1"/>
    <w:rsid w:val="00301682"/>
    <w:rsid w:val="003017C8"/>
    <w:rsid w:val="00301821"/>
    <w:rsid w:val="003018A1"/>
    <w:rsid w:val="003018F1"/>
    <w:rsid w:val="00301900"/>
    <w:rsid w:val="00301C3E"/>
    <w:rsid w:val="003020CF"/>
    <w:rsid w:val="003020D0"/>
    <w:rsid w:val="00302163"/>
    <w:rsid w:val="00302174"/>
    <w:rsid w:val="00302233"/>
    <w:rsid w:val="0030223F"/>
    <w:rsid w:val="003023CE"/>
    <w:rsid w:val="00302513"/>
    <w:rsid w:val="00302666"/>
    <w:rsid w:val="00302944"/>
    <w:rsid w:val="003029DE"/>
    <w:rsid w:val="003029F1"/>
    <w:rsid w:val="00302A77"/>
    <w:rsid w:val="00302B7A"/>
    <w:rsid w:val="00302C1A"/>
    <w:rsid w:val="00302E49"/>
    <w:rsid w:val="00302ED2"/>
    <w:rsid w:val="00302F01"/>
    <w:rsid w:val="00303379"/>
    <w:rsid w:val="00303443"/>
    <w:rsid w:val="0030345D"/>
    <w:rsid w:val="00303597"/>
    <w:rsid w:val="003036F0"/>
    <w:rsid w:val="0030378A"/>
    <w:rsid w:val="0030379A"/>
    <w:rsid w:val="00303AF4"/>
    <w:rsid w:val="00303C3D"/>
    <w:rsid w:val="00303D4D"/>
    <w:rsid w:val="00303DCD"/>
    <w:rsid w:val="00304076"/>
    <w:rsid w:val="003043A6"/>
    <w:rsid w:val="0030448F"/>
    <w:rsid w:val="0030453E"/>
    <w:rsid w:val="0030470B"/>
    <w:rsid w:val="003047D1"/>
    <w:rsid w:val="0030482F"/>
    <w:rsid w:val="00304980"/>
    <w:rsid w:val="003049DF"/>
    <w:rsid w:val="00304BA9"/>
    <w:rsid w:val="00304DE3"/>
    <w:rsid w:val="00304FEC"/>
    <w:rsid w:val="00305075"/>
    <w:rsid w:val="0030507F"/>
    <w:rsid w:val="00305092"/>
    <w:rsid w:val="003050D7"/>
    <w:rsid w:val="00305556"/>
    <w:rsid w:val="00305595"/>
    <w:rsid w:val="00305689"/>
    <w:rsid w:val="00305907"/>
    <w:rsid w:val="00305BA8"/>
    <w:rsid w:val="00305ECE"/>
    <w:rsid w:val="0030607B"/>
    <w:rsid w:val="00306187"/>
    <w:rsid w:val="00306252"/>
    <w:rsid w:val="003063C5"/>
    <w:rsid w:val="00306BB3"/>
    <w:rsid w:val="00306D4F"/>
    <w:rsid w:val="00307075"/>
    <w:rsid w:val="0030732A"/>
    <w:rsid w:val="00307341"/>
    <w:rsid w:val="00307499"/>
    <w:rsid w:val="0030758A"/>
    <w:rsid w:val="0030764A"/>
    <w:rsid w:val="00307757"/>
    <w:rsid w:val="003078F0"/>
    <w:rsid w:val="003079BD"/>
    <w:rsid w:val="00307E25"/>
    <w:rsid w:val="0031034F"/>
    <w:rsid w:val="00310362"/>
    <w:rsid w:val="003104E3"/>
    <w:rsid w:val="0031062B"/>
    <w:rsid w:val="003107AD"/>
    <w:rsid w:val="00310845"/>
    <w:rsid w:val="00310AE3"/>
    <w:rsid w:val="00310C2B"/>
    <w:rsid w:val="00310F3B"/>
    <w:rsid w:val="00310FA7"/>
    <w:rsid w:val="0031134F"/>
    <w:rsid w:val="003115ED"/>
    <w:rsid w:val="003116D1"/>
    <w:rsid w:val="003116EC"/>
    <w:rsid w:val="003117C7"/>
    <w:rsid w:val="00311923"/>
    <w:rsid w:val="00311982"/>
    <w:rsid w:val="00311B69"/>
    <w:rsid w:val="00311C69"/>
    <w:rsid w:val="00311D1D"/>
    <w:rsid w:val="00311E23"/>
    <w:rsid w:val="00311FC0"/>
    <w:rsid w:val="00311FF8"/>
    <w:rsid w:val="00312063"/>
    <w:rsid w:val="0031208B"/>
    <w:rsid w:val="003121FC"/>
    <w:rsid w:val="0031236C"/>
    <w:rsid w:val="0031236E"/>
    <w:rsid w:val="0031248D"/>
    <w:rsid w:val="003125E6"/>
    <w:rsid w:val="00312659"/>
    <w:rsid w:val="003128E8"/>
    <w:rsid w:val="00312A5B"/>
    <w:rsid w:val="00312A8E"/>
    <w:rsid w:val="00312B36"/>
    <w:rsid w:val="00312C1A"/>
    <w:rsid w:val="00312C7F"/>
    <w:rsid w:val="00312E2A"/>
    <w:rsid w:val="00312F1B"/>
    <w:rsid w:val="00312FEE"/>
    <w:rsid w:val="00313024"/>
    <w:rsid w:val="00313071"/>
    <w:rsid w:val="003130A5"/>
    <w:rsid w:val="00313154"/>
    <w:rsid w:val="0031315C"/>
    <w:rsid w:val="00313184"/>
    <w:rsid w:val="00313186"/>
    <w:rsid w:val="003132C7"/>
    <w:rsid w:val="00313846"/>
    <w:rsid w:val="003138E2"/>
    <w:rsid w:val="00313998"/>
    <w:rsid w:val="003139E4"/>
    <w:rsid w:val="00313A61"/>
    <w:rsid w:val="00313BF4"/>
    <w:rsid w:val="00313BF8"/>
    <w:rsid w:val="00313CB5"/>
    <w:rsid w:val="00313DE1"/>
    <w:rsid w:val="003144A5"/>
    <w:rsid w:val="003145EF"/>
    <w:rsid w:val="003146FF"/>
    <w:rsid w:val="00314774"/>
    <w:rsid w:val="00314856"/>
    <w:rsid w:val="00314897"/>
    <w:rsid w:val="0031492F"/>
    <w:rsid w:val="00314B9F"/>
    <w:rsid w:val="00314C23"/>
    <w:rsid w:val="00314EE2"/>
    <w:rsid w:val="00315118"/>
    <w:rsid w:val="0031541E"/>
    <w:rsid w:val="00315621"/>
    <w:rsid w:val="00315676"/>
    <w:rsid w:val="0031570C"/>
    <w:rsid w:val="00315875"/>
    <w:rsid w:val="00315886"/>
    <w:rsid w:val="003158BD"/>
    <w:rsid w:val="00315D5D"/>
    <w:rsid w:val="00315E20"/>
    <w:rsid w:val="00315E27"/>
    <w:rsid w:val="00316102"/>
    <w:rsid w:val="00316243"/>
    <w:rsid w:val="0031669B"/>
    <w:rsid w:val="003167E8"/>
    <w:rsid w:val="00316A3F"/>
    <w:rsid w:val="00316AF9"/>
    <w:rsid w:val="00316BAD"/>
    <w:rsid w:val="00316C78"/>
    <w:rsid w:val="00316E99"/>
    <w:rsid w:val="00316EC8"/>
    <w:rsid w:val="0031723E"/>
    <w:rsid w:val="00317771"/>
    <w:rsid w:val="00317861"/>
    <w:rsid w:val="00317870"/>
    <w:rsid w:val="0031796B"/>
    <w:rsid w:val="00317BCB"/>
    <w:rsid w:val="00317C78"/>
    <w:rsid w:val="00317CC6"/>
    <w:rsid w:val="00317D7C"/>
    <w:rsid w:val="00317DC3"/>
    <w:rsid w:val="00317DC7"/>
    <w:rsid w:val="00317EC4"/>
    <w:rsid w:val="00317F6E"/>
    <w:rsid w:val="003203B2"/>
    <w:rsid w:val="0032043E"/>
    <w:rsid w:val="0032052D"/>
    <w:rsid w:val="003205C5"/>
    <w:rsid w:val="003209E8"/>
    <w:rsid w:val="00320A0C"/>
    <w:rsid w:val="00320A91"/>
    <w:rsid w:val="00320D08"/>
    <w:rsid w:val="00320F2F"/>
    <w:rsid w:val="00321054"/>
    <w:rsid w:val="003212F6"/>
    <w:rsid w:val="00321343"/>
    <w:rsid w:val="00321484"/>
    <w:rsid w:val="00321665"/>
    <w:rsid w:val="003217F2"/>
    <w:rsid w:val="0032182F"/>
    <w:rsid w:val="00321A50"/>
    <w:rsid w:val="00321CAB"/>
    <w:rsid w:val="00321CE4"/>
    <w:rsid w:val="00322030"/>
    <w:rsid w:val="003221BD"/>
    <w:rsid w:val="003221F6"/>
    <w:rsid w:val="00322274"/>
    <w:rsid w:val="00322472"/>
    <w:rsid w:val="003224B7"/>
    <w:rsid w:val="0032274A"/>
    <w:rsid w:val="0032275B"/>
    <w:rsid w:val="003227DC"/>
    <w:rsid w:val="0032299A"/>
    <w:rsid w:val="00322A1E"/>
    <w:rsid w:val="00322C4C"/>
    <w:rsid w:val="00322CB8"/>
    <w:rsid w:val="00323008"/>
    <w:rsid w:val="0032318D"/>
    <w:rsid w:val="00323207"/>
    <w:rsid w:val="00323226"/>
    <w:rsid w:val="00323252"/>
    <w:rsid w:val="00323364"/>
    <w:rsid w:val="003234FF"/>
    <w:rsid w:val="00323645"/>
    <w:rsid w:val="003236E9"/>
    <w:rsid w:val="00323736"/>
    <w:rsid w:val="0032373B"/>
    <w:rsid w:val="003239C0"/>
    <w:rsid w:val="00323CA0"/>
    <w:rsid w:val="00323CEB"/>
    <w:rsid w:val="00324154"/>
    <w:rsid w:val="003245B5"/>
    <w:rsid w:val="00324684"/>
    <w:rsid w:val="003246D7"/>
    <w:rsid w:val="003247C0"/>
    <w:rsid w:val="00324867"/>
    <w:rsid w:val="00324DC8"/>
    <w:rsid w:val="00324F60"/>
    <w:rsid w:val="00325180"/>
    <w:rsid w:val="003252F3"/>
    <w:rsid w:val="00325814"/>
    <w:rsid w:val="00325A67"/>
    <w:rsid w:val="00325ABA"/>
    <w:rsid w:val="00326140"/>
    <w:rsid w:val="0032620E"/>
    <w:rsid w:val="003266BF"/>
    <w:rsid w:val="00326712"/>
    <w:rsid w:val="00326797"/>
    <w:rsid w:val="003267E7"/>
    <w:rsid w:val="003268B3"/>
    <w:rsid w:val="00326B12"/>
    <w:rsid w:val="00326CE1"/>
    <w:rsid w:val="00326DB3"/>
    <w:rsid w:val="00326E12"/>
    <w:rsid w:val="00326E4E"/>
    <w:rsid w:val="00327302"/>
    <w:rsid w:val="003276CC"/>
    <w:rsid w:val="0032781D"/>
    <w:rsid w:val="003278BE"/>
    <w:rsid w:val="00327A23"/>
    <w:rsid w:val="00327C05"/>
    <w:rsid w:val="00327E0D"/>
    <w:rsid w:val="00327E75"/>
    <w:rsid w:val="00327EBB"/>
    <w:rsid w:val="00327EF6"/>
    <w:rsid w:val="00327FDF"/>
    <w:rsid w:val="00327FF5"/>
    <w:rsid w:val="00330517"/>
    <w:rsid w:val="003307D4"/>
    <w:rsid w:val="00330817"/>
    <w:rsid w:val="00330A64"/>
    <w:rsid w:val="00330A9C"/>
    <w:rsid w:val="00330D47"/>
    <w:rsid w:val="00331071"/>
    <w:rsid w:val="0033149D"/>
    <w:rsid w:val="00331564"/>
    <w:rsid w:val="0033157B"/>
    <w:rsid w:val="00331905"/>
    <w:rsid w:val="003319AF"/>
    <w:rsid w:val="003319D6"/>
    <w:rsid w:val="003319DC"/>
    <w:rsid w:val="00331A9F"/>
    <w:rsid w:val="00331D49"/>
    <w:rsid w:val="00331D57"/>
    <w:rsid w:val="00331DE4"/>
    <w:rsid w:val="00332227"/>
    <w:rsid w:val="00332399"/>
    <w:rsid w:val="00332425"/>
    <w:rsid w:val="00332466"/>
    <w:rsid w:val="0033297E"/>
    <w:rsid w:val="00332B88"/>
    <w:rsid w:val="00332F39"/>
    <w:rsid w:val="003330A2"/>
    <w:rsid w:val="0033323C"/>
    <w:rsid w:val="00333515"/>
    <w:rsid w:val="003338AF"/>
    <w:rsid w:val="00333911"/>
    <w:rsid w:val="00333A5F"/>
    <w:rsid w:val="00333A96"/>
    <w:rsid w:val="00333C76"/>
    <w:rsid w:val="00333D54"/>
    <w:rsid w:val="00333EF4"/>
    <w:rsid w:val="00334013"/>
    <w:rsid w:val="003341B4"/>
    <w:rsid w:val="00334362"/>
    <w:rsid w:val="0033437A"/>
    <w:rsid w:val="00334658"/>
    <w:rsid w:val="00334CD9"/>
    <w:rsid w:val="00334F3F"/>
    <w:rsid w:val="00334FF0"/>
    <w:rsid w:val="00335024"/>
    <w:rsid w:val="00335138"/>
    <w:rsid w:val="00335143"/>
    <w:rsid w:val="00335173"/>
    <w:rsid w:val="003353BB"/>
    <w:rsid w:val="00335493"/>
    <w:rsid w:val="00335700"/>
    <w:rsid w:val="003357B1"/>
    <w:rsid w:val="00335AD7"/>
    <w:rsid w:val="00336615"/>
    <w:rsid w:val="003366F5"/>
    <w:rsid w:val="0033698B"/>
    <w:rsid w:val="003369A3"/>
    <w:rsid w:val="00336BE7"/>
    <w:rsid w:val="003371AE"/>
    <w:rsid w:val="00337359"/>
    <w:rsid w:val="0033775C"/>
    <w:rsid w:val="003378A8"/>
    <w:rsid w:val="003379C6"/>
    <w:rsid w:val="00337A9A"/>
    <w:rsid w:val="00337E98"/>
    <w:rsid w:val="00340001"/>
    <w:rsid w:val="003403EC"/>
    <w:rsid w:val="00340551"/>
    <w:rsid w:val="0034060B"/>
    <w:rsid w:val="0034062B"/>
    <w:rsid w:val="0034087B"/>
    <w:rsid w:val="00340BBD"/>
    <w:rsid w:val="00340CA4"/>
    <w:rsid w:val="00340EAC"/>
    <w:rsid w:val="00341001"/>
    <w:rsid w:val="00341066"/>
    <w:rsid w:val="00341573"/>
    <w:rsid w:val="00341648"/>
    <w:rsid w:val="00341C70"/>
    <w:rsid w:val="00341CBE"/>
    <w:rsid w:val="0034209B"/>
    <w:rsid w:val="00342117"/>
    <w:rsid w:val="003421B4"/>
    <w:rsid w:val="003423DA"/>
    <w:rsid w:val="003424EF"/>
    <w:rsid w:val="003425C9"/>
    <w:rsid w:val="00342896"/>
    <w:rsid w:val="003428A9"/>
    <w:rsid w:val="003428E9"/>
    <w:rsid w:val="0034294B"/>
    <w:rsid w:val="00342C6C"/>
    <w:rsid w:val="00342D11"/>
    <w:rsid w:val="00342D32"/>
    <w:rsid w:val="00342FD0"/>
    <w:rsid w:val="0034302C"/>
    <w:rsid w:val="00343080"/>
    <w:rsid w:val="0034329B"/>
    <w:rsid w:val="00343324"/>
    <w:rsid w:val="0034352E"/>
    <w:rsid w:val="0034381F"/>
    <w:rsid w:val="00343A15"/>
    <w:rsid w:val="00343A1F"/>
    <w:rsid w:val="00343B27"/>
    <w:rsid w:val="00343E28"/>
    <w:rsid w:val="00343FF5"/>
    <w:rsid w:val="00344118"/>
    <w:rsid w:val="003441FF"/>
    <w:rsid w:val="00344309"/>
    <w:rsid w:val="003443E2"/>
    <w:rsid w:val="003445D2"/>
    <w:rsid w:val="003447A7"/>
    <w:rsid w:val="003447EF"/>
    <w:rsid w:val="0034491A"/>
    <w:rsid w:val="00344B05"/>
    <w:rsid w:val="00344BBB"/>
    <w:rsid w:val="00344C0B"/>
    <w:rsid w:val="00344C55"/>
    <w:rsid w:val="00344EDE"/>
    <w:rsid w:val="0034500F"/>
    <w:rsid w:val="003450AD"/>
    <w:rsid w:val="0034554E"/>
    <w:rsid w:val="003457C7"/>
    <w:rsid w:val="0034589D"/>
    <w:rsid w:val="00345D14"/>
    <w:rsid w:val="00345E20"/>
    <w:rsid w:val="00345F65"/>
    <w:rsid w:val="003461F6"/>
    <w:rsid w:val="0034630D"/>
    <w:rsid w:val="0034653D"/>
    <w:rsid w:val="00346586"/>
    <w:rsid w:val="003465D9"/>
    <w:rsid w:val="00346936"/>
    <w:rsid w:val="00346A01"/>
    <w:rsid w:val="00346BF2"/>
    <w:rsid w:val="00346C5A"/>
    <w:rsid w:val="00346D0D"/>
    <w:rsid w:val="00346D19"/>
    <w:rsid w:val="00346ED4"/>
    <w:rsid w:val="00346EE8"/>
    <w:rsid w:val="00347006"/>
    <w:rsid w:val="003470B9"/>
    <w:rsid w:val="003470C0"/>
    <w:rsid w:val="003472BB"/>
    <w:rsid w:val="00347346"/>
    <w:rsid w:val="0034784C"/>
    <w:rsid w:val="00347991"/>
    <w:rsid w:val="003479D6"/>
    <w:rsid w:val="00347AD2"/>
    <w:rsid w:val="00347AF9"/>
    <w:rsid w:val="00347C84"/>
    <w:rsid w:val="00347F2D"/>
    <w:rsid w:val="00347F52"/>
    <w:rsid w:val="0035007E"/>
    <w:rsid w:val="003501C7"/>
    <w:rsid w:val="003501EB"/>
    <w:rsid w:val="00350592"/>
    <w:rsid w:val="00350641"/>
    <w:rsid w:val="00350759"/>
    <w:rsid w:val="003507F3"/>
    <w:rsid w:val="00350B36"/>
    <w:rsid w:val="00350CE8"/>
    <w:rsid w:val="00350E05"/>
    <w:rsid w:val="00350E93"/>
    <w:rsid w:val="00350F0B"/>
    <w:rsid w:val="00351021"/>
    <w:rsid w:val="003510BF"/>
    <w:rsid w:val="0035116C"/>
    <w:rsid w:val="00351477"/>
    <w:rsid w:val="003514AE"/>
    <w:rsid w:val="00351589"/>
    <w:rsid w:val="003517D3"/>
    <w:rsid w:val="00351847"/>
    <w:rsid w:val="00351890"/>
    <w:rsid w:val="00351AA1"/>
    <w:rsid w:val="00351AC0"/>
    <w:rsid w:val="00351B81"/>
    <w:rsid w:val="00351C66"/>
    <w:rsid w:val="00351C89"/>
    <w:rsid w:val="00351F70"/>
    <w:rsid w:val="00351FAE"/>
    <w:rsid w:val="00352039"/>
    <w:rsid w:val="0035203A"/>
    <w:rsid w:val="0035210B"/>
    <w:rsid w:val="00352115"/>
    <w:rsid w:val="00352264"/>
    <w:rsid w:val="003523C6"/>
    <w:rsid w:val="003523C7"/>
    <w:rsid w:val="00352718"/>
    <w:rsid w:val="00352755"/>
    <w:rsid w:val="003528CF"/>
    <w:rsid w:val="003528E3"/>
    <w:rsid w:val="00352BC2"/>
    <w:rsid w:val="00352BD6"/>
    <w:rsid w:val="00352F86"/>
    <w:rsid w:val="00352FC3"/>
    <w:rsid w:val="00353183"/>
    <w:rsid w:val="00353225"/>
    <w:rsid w:val="003533B5"/>
    <w:rsid w:val="0035372E"/>
    <w:rsid w:val="00353735"/>
    <w:rsid w:val="003537DC"/>
    <w:rsid w:val="003537EB"/>
    <w:rsid w:val="003539FB"/>
    <w:rsid w:val="00353A47"/>
    <w:rsid w:val="00353ADA"/>
    <w:rsid w:val="00353B7B"/>
    <w:rsid w:val="00353E56"/>
    <w:rsid w:val="003542E4"/>
    <w:rsid w:val="003544F0"/>
    <w:rsid w:val="0035476A"/>
    <w:rsid w:val="003547D7"/>
    <w:rsid w:val="00354B86"/>
    <w:rsid w:val="00354B92"/>
    <w:rsid w:val="00354EC8"/>
    <w:rsid w:val="00355108"/>
    <w:rsid w:val="0035525C"/>
    <w:rsid w:val="003553F5"/>
    <w:rsid w:val="003555E2"/>
    <w:rsid w:val="00355603"/>
    <w:rsid w:val="00355652"/>
    <w:rsid w:val="003557B0"/>
    <w:rsid w:val="00355822"/>
    <w:rsid w:val="003558CB"/>
    <w:rsid w:val="0035594D"/>
    <w:rsid w:val="00355A15"/>
    <w:rsid w:val="00355A66"/>
    <w:rsid w:val="00355D41"/>
    <w:rsid w:val="00355E28"/>
    <w:rsid w:val="00355EB0"/>
    <w:rsid w:val="00355F3E"/>
    <w:rsid w:val="00356332"/>
    <w:rsid w:val="003564A7"/>
    <w:rsid w:val="0035653E"/>
    <w:rsid w:val="0035662A"/>
    <w:rsid w:val="00356689"/>
    <w:rsid w:val="003566B0"/>
    <w:rsid w:val="00356B86"/>
    <w:rsid w:val="00356C2D"/>
    <w:rsid w:val="00356CE6"/>
    <w:rsid w:val="00356E14"/>
    <w:rsid w:val="00356ED7"/>
    <w:rsid w:val="00356F3A"/>
    <w:rsid w:val="00357011"/>
    <w:rsid w:val="00357169"/>
    <w:rsid w:val="00357198"/>
    <w:rsid w:val="00357535"/>
    <w:rsid w:val="003575DA"/>
    <w:rsid w:val="003577AA"/>
    <w:rsid w:val="003577BC"/>
    <w:rsid w:val="003577E9"/>
    <w:rsid w:val="003579C3"/>
    <w:rsid w:val="00357AFE"/>
    <w:rsid w:val="00357C26"/>
    <w:rsid w:val="00357E9E"/>
    <w:rsid w:val="00357F80"/>
    <w:rsid w:val="00357FEE"/>
    <w:rsid w:val="00360240"/>
    <w:rsid w:val="003602B2"/>
    <w:rsid w:val="003603AB"/>
    <w:rsid w:val="00360458"/>
    <w:rsid w:val="003607EF"/>
    <w:rsid w:val="00360980"/>
    <w:rsid w:val="003609DD"/>
    <w:rsid w:val="003609E5"/>
    <w:rsid w:val="00360A79"/>
    <w:rsid w:val="00360BE2"/>
    <w:rsid w:val="00360E58"/>
    <w:rsid w:val="00360FF2"/>
    <w:rsid w:val="003610DD"/>
    <w:rsid w:val="0036127D"/>
    <w:rsid w:val="003612A6"/>
    <w:rsid w:val="003614A7"/>
    <w:rsid w:val="003619D2"/>
    <w:rsid w:val="00361AF1"/>
    <w:rsid w:val="00361B03"/>
    <w:rsid w:val="00361B78"/>
    <w:rsid w:val="00361E0C"/>
    <w:rsid w:val="00361E41"/>
    <w:rsid w:val="00361E4E"/>
    <w:rsid w:val="00361E55"/>
    <w:rsid w:val="00362069"/>
    <w:rsid w:val="00362232"/>
    <w:rsid w:val="003629D1"/>
    <w:rsid w:val="00362AA0"/>
    <w:rsid w:val="00362B20"/>
    <w:rsid w:val="00362C1A"/>
    <w:rsid w:val="00362C1E"/>
    <w:rsid w:val="00362CE3"/>
    <w:rsid w:val="00362DDF"/>
    <w:rsid w:val="00362EDE"/>
    <w:rsid w:val="0036320E"/>
    <w:rsid w:val="00363378"/>
    <w:rsid w:val="0036362B"/>
    <w:rsid w:val="003638CE"/>
    <w:rsid w:val="003638F2"/>
    <w:rsid w:val="00363B10"/>
    <w:rsid w:val="00363DC4"/>
    <w:rsid w:val="0036407E"/>
    <w:rsid w:val="003642FA"/>
    <w:rsid w:val="003644D0"/>
    <w:rsid w:val="003646A5"/>
    <w:rsid w:val="003646BB"/>
    <w:rsid w:val="003648CD"/>
    <w:rsid w:val="0036499F"/>
    <w:rsid w:val="00364C33"/>
    <w:rsid w:val="00364CE9"/>
    <w:rsid w:val="00364D5F"/>
    <w:rsid w:val="00364DC0"/>
    <w:rsid w:val="00364E60"/>
    <w:rsid w:val="003651B0"/>
    <w:rsid w:val="00365265"/>
    <w:rsid w:val="003652B1"/>
    <w:rsid w:val="003652BA"/>
    <w:rsid w:val="0036547B"/>
    <w:rsid w:val="00365760"/>
    <w:rsid w:val="003657EF"/>
    <w:rsid w:val="0036584B"/>
    <w:rsid w:val="0036591A"/>
    <w:rsid w:val="00365B78"/>
    <w:rsid w:val="00365F11"/>
    <w:rsid w:val="003661E2"/>
    <w:rsid w:val="00366433"/>
    <w:rsid w:val="003666BA"/>
    <w:rsid w:val="003666E7"/>
    <w:rsid w:val="00366B38"/>
    <w:rsid w:val="00366B5A"/>
    <w:rsid w:val="00366CBE"/>
    <w:rsid w:val="00366DBC"/>
    <w:rsid w:val="00366DC8"/>
    <w:rsid w:val="00366EA9"/>
    <w:rsid w:val="00366F4B"/>
    <w:rsid w:val="00367066"/>
    <w:rsid w:val="003670B0"/>
    <w:rsid w:val="00367120"/>
    <w:rsid w:val="00367242"/>
    <w:rsid w:val="00367478"/>
    <w:rsid w:val="0036771B"/>
    <w:rsid w:val="0036778B"/>
    <w:rsid w:val="0036790A"/>
    <w:rsid w:val="00367A83"/>
    <w:rsid w:val="00367A9F"/>
    <w:rsid w:val="00367B1A"/>
    <w:rsid w:val="00367B91"/>
    <w:rsid w:val="00367D42"/>
    <w:rsid w:val="003702D8"/>
    <w:rsid w:val="003703B6"/>
    <w:rsid w:val="0037050E"/>
    <w:rsid w:val="0037056A"/>
    <w:rsid w:val="00370932"/>
    <w:rsid w:val="003709ED"/>
    <w:rsid w:val="00370A09"/>
    <w:rsid w:val="00370A1E"/>
    <w:rsid w:val="00370A3B"/>
    <w:rsid w:val="00370B37"/>
    <w:rsid w:val="00370CB9"/>
    <w:rsid w:val="00370FC9"/>
    <w:rsid w:val="00371009"/>
    <w:rsid w:val="003710CD"/>
    <w:rsid w:val="003710DE"/>
    <w:rsid w:val="00371255"/>
    <w:rsid w:val="00371653"/>
    <w:rsid w:val="0037185B"/>
    <w:rsid w:val="00371B29"/>
    <w:rsid w:val="00371BC2"/>
    <w:rsid w:val="00371CD5"/>
    <w:rsid w:val="00371E4C"/>
    <w:rsid w:val="00371F3A"/>
    <w:rsid w:val="0037215C"/>
    <w:rsid w:val="00372320"/>
    <w:rsid w:val="00372586"/>
    <w:rsid w:val="003725A3"/>
    <w:rsid w:val="003725BA"/>
    <w:rsid w:val="00372BAB"/>
    <w:rsid w:val="00372C95"/>
    <w:rsid w:val="00372D7E"/>
    <w:rsid w:val="00372DF4"/>
    <w:rsid w:val="00372DFE"/>
    <w:rsid w:val="00372F86"/>
    <w:rsid w:val="0037303C"/>
    <w:rsid w:val="00373059"/>
    <w:rsid w:val="003735FF"/>
    <w:rsid w:val="0037360A"/>
    <w:rsid w:val="00373710"/>
    <w:rsid w:val="00373B62"/>
    <w:rsid w:val="00373BBE"/>
    <w:rsid w:val="00373C0B"/>
    <w:rsid w:val="00373CBF"/>
    <w:rsid w:val="00373FC2"/>
    <w:rsid w:val="003741AF"/>
    <w:rsid w:val="003742C6"/>
    <w:rsid w:val="003743D4"/>
    <w:rsid w:val="0037446C"/>
    <w:rsid w:val="0037473C"/>
    <w:rsid w:val="00374792"/>
    <w:rsid w:val="00374925"/>
    <w:rsid w:val="003749FF"/>
    <w:rsid w:val="00374B81"/>
    <w:rsid w:val="00374CF8"/>
    <w:rsid w:val="00374D4C"/>
    <w:rsid w:val="00374E95"/>
    <w:rsid w:val="00374F1A"/>
    <w:rsid w:val="00375104"/>
    <w:rsid w:val="0037521D"/>
    <w:rsid w:val="0037525B"/>
    <w:rsid w:val="00375349"/>
    <w:rsid w:val="003753C6"/>
    <w:rsid w:val="00375416"/>
    <w:rsid w:val="003754DC"/>
    <w:rsid w:val="00375624"/>
    <w:rsid w:val="00375B76"/>
    <w:rsid w:val="00375CC0"/>
    <w:rsid w:val="00375E01"/>
    <w:rsid w:val="00375F0B"/>
    <w:rsid w:val="00376078"/>
    <w:rsid w:val="00376232"/>
    <w:rsid w:val="00376368"/>
    <w:rsid w:val="00376455"/>
    <w:rsid w:val="003766B9"/>
    <w:rsid w:val="00376B5C"/>
    <w:rsid w:val="00377007"/>
    <w:rsid w:val="00377022"/>
    <w:rsid w:val="003775E1"/>
    <w:rsid w:val="003777A2"/>
    <w:rsid w:val="003777FF"/>
    <w:rsid w:val="00377862"/>
    <w:rsid w:val="003778CB"/>
    <w:rsid w:val="00377A84"/>
    <w:rsid w:val="00377CF6"/>
    <w:rsid w:val="00377D08"/>
    <w:rsid w:val="00377DE4"/>
    <w:rsid w:val="00377E50"/>
    <w:rsid w:val="00377E5A"/>
    <w:rsid w:val="00377F9B"/>
    <w:rsid w:val="00380070"/>
    <w:rsid w:val="00380078"/>
    <w:rsid w:val="0038010D"/>
    <w:rsid w:val="00380183"/>
    <w:rsid w:val="00380222"/>
    <w:rsid w:val="00380259"/>
    <w:rsid w:val="003803CE"/>
    <w:rsid w:val="00380478"/>
    <w:rsid w:val="00380538"/>
    <w:rsid w:val="0038054E"/>
    <w:rsid w:val="00380761"/>
    <w:rsid w:val="003809EE"/>
    <w:rsid w:val="00380A21"/>
    <w:rsid w:val="00380C06"/>
    <w:rsid w:val="00380CC5"/>
    <w:rsid w:val="00380D7B"/>
    <w:rsid w:val="00380F21"/>
    <w:rsid w:val="003810E0"/>
    <w:rsid w:val="003812AA"/>
    <w:rsid w:val="00381857"/>
    <w:rsid w:val="003818DD"/>
    <w:rsid w:val="00381A32"/>
    <w:rsid w:val="00381AF2"/>
    <w:rsid w:val="00381AF6"/>
    <w:rsid w:val="00381F3E"/>
    <w:rsid w:val="00381FB2"/>
    <w:rsid w:val="00382331"/>
    <w:rsid w:val="00382416"/>
    <w:rsid w:val="003825FA"/>
    <w:rsid w:val="003826F9"/>
    <w:rsid w:val="00382757"/>
    <w:rsid w:val="003827FA"/>
    <w:rsid w:val="0038281D"/>
    <w:rsid w:val="0038287F"/>
    <w:rsid w:val="00382AE6"/>
    <w:rsid w:val="003830ED"/>
    <w:rsid w:val="00383203"/>
    <w:rsid w:val="003832F0"/>
    <w:rsid w:val="0038336D"/>
    <w:rsid w:val="0038363D"/>
    <w:rsid w:val="00383C36"/>
    <w:rsid w:val="00383C3D"/>
    <w:rsid w:val="0038407E"/>
    <w:rsid w:val="00384321"/>
    <w:rsid w:val="00384371"/>
    <w:rsid w:val="00384378"/>
    <w:rsid w:val="00384427"/>
    <w:rsid w:val="003844D2"/>
    <w:rsid w:val="003849ED"/>
    <w:rsid w:val="00384E5E"/>
    <w:rsid w:val="00384EAA"/>
    <w:rsid w:val="003852E1"/>
    <w:rsid w:val="00385397"/>
    <w:rsid w:val="0038568A"/>
    <w:rsid w:val="00385735"/>
    <w:rsid w:val="00385941"/>
    <w:rsid w:val="00385C07"/>
    <w:rsid w:val="00385FC9"/>
    <w:rsid w:val="0038603B"/>
    <w:rsid w:val="0038683C"/>
    <w:rsid w:val="00386AF7"/>
    <w:rsid w:val="00386BD2"/>
    <w:rsid w:val="00386CD3"/>
    <w:rsid w:val="00386D5C"/>
    <w:rsid w:val="00386E02"/>
    <w:rsid w:val="00386E03"/>
    <w:rsid w:val="00386F1C"/>
    <w:rsid w:val="00387224"/>
    <w:rsid w:val="00387371"/>
    <w:rsid w:val="003873E7"/>
    <w:rsid w:val="0038756B"/>
    <w:rsid w:val="00387602"/>
    <w:rsid w:val="00387691"/>
    <w:rsid w:val="00387827"/>
    <w:rsid w:val="0038783B"/>
    <w:rsid w:val="003879A3"/>
    <w:rsid w:val="00387BDD"/>
    <w:rsid w:val="00387BED"/>
    <w:rsid w:val="00387D0F"/>
    <w:rsid w:val="00387E0D"/>
    <w:rsid w:val="00387F10"/>
    <w:rsid w:val="00390086"/>
    <w:rsid w:val="0039022D"/>
    <w:rsid w:val="003909D3"/>
    <w:rsid w:val="00390AC1"/>
    <w:rsid w:val="00390C72"/>
    <w:rsid w:val="00390DA6"/>
    <w:rsid w:val="00390FD9"/>
    <w:rsid w:val="003910C9"/>
    <w:rsid w:val="00391146"/>
    <w:rsid w:val="00391219"/>
    <w:rsid w:val="00391533"/>
    <w:rsid w:val="00391583"/>
    <w:rsid w:val="003915C5"/>
    <w:rsid w:val="003916E4"/>
    <w:rsid w:val="003917D7"/>
    <w:rsid w:val="0039189E"/>
    <w:rsid w:val="003918F8"/>
    <w:rsid w:val="0039195F"/>
    <w:rsid w:val="00391AF3"/>
    <w:rsid w:val="00391AF8"/>
    <w:rsid w:val="00391BE1"/>
    <w:rsid w:val="00391C55"/>
    <w:rsid w:val="00391C68"/>
    <w:rsid w:val="00391E0F"/>
    <w:rsid w:val="00391F9F"/>
    <w:rsid w:val="00392414"/>
    <w:rsid w:val="0039273D"/>
    <w:rsid w:val="003928C9"/>
    <w:rsid w:val="00392978"/>
    <w:rsid w:val="00392ABA"/>
    <w:rsid w:val="00392C00"/>
    <w:rsid w:val="00392C5E"/>
    <w:rsid w:val="00392CF0"/>
    <w:rsid w:val="00392D0F"/>
    <w:rsid w:val="00392F1B"/>
    <w:rsid w:val="00392F6D"/>
    <w:rsid w:val="00393016"/>
    <w:rsid w:val="00393175"/>
    <w:rsid w:val="00393418"/>
    <w:rsid w:val="0039350E"/>
    <w:rsid w:val="00393568"/>
    <w:rsid w:val="00393722"/>
    <w:rsid w:val="003937D0"/>
    <w:rsid w:val="00393922"/>
    <w:rsid w:val="00393A76"/>
    <w:rsid w:val="00393B05"/>
    <w:rsid w:val="00393BDF"/>
    <w:rsid w:val="003941DA"/>
    <w:rsid w:val="0039428E"/>
    <w:rsid w:val="003942F6"/>
    <w:rsid w:val="0039449B"/>
    <w:rsid w:val="00394566"/>
    <w:rsid w:val="003945BF"/>
    <w:rsid w:val="0039463A"/>
    <w:rsid w:val="003946B5"/>
    <w:rsid w:val="00394859"/>
    <w:rsid w:val="003948BC"/>
    <w:rsid w:val="0039496B"/>
    <w:rsid w:val="00394A23"/>
    <w:rsid w:val="00394E94"/>
    <w:rsid w:val="0039503D"/>
    <w:rsid w:val="003950ED"/>
    <w:rsid w:val="00395294"/>
    <w:rsid w:val="003952C0"/>
    <w:rsid w:val="003952E3"/>
    <w:rsid w:val="003954CB"/>
    <w:rsid w:val="00395745"/>
    <w:rsid w:val="00395786"/>
    <w:rsid w:val="003958C5"/>
    <w:rsid w:val="00395B4A"/>
    <w:rsid w:val="00395B5C"/>
    <w:rsid w:val="00395DCC"/>
    <w:rsid w:val="0039626E"/>
    <w:rsid w:val="0039649D"/>
    <w:rsid w:val="0039656B"/>
    <w:rsid w:val="00396697"/>
    <w:rsid w:val="003967FF"/>
    <w:rsid w:val="00396C5D"/>
    <w:rsid w:val="00396D18"/>
    <w:rsid w:val="00396D9A"/>
    <w:rsid w:val="00396F6B"/>
    <w:rsid w:val="00396F73"/>
    <w:rsid w:val="0039704B"/>
    <w:rsid w:val="00397124"/>
    <w:rsid w:val="0039715E"/>
    <w:rsid w:val="0039718F"/>
    <w:rsid w:val="00397287"/>
    <w:rsid w:val="003973C2"/>
    <w:rsid w:val="0039753F"/>
    <w:rsid w:val="003979D0"/>
    <w:rsid w:val="00397AAD"/>
    <w:rsid w:val="00397AE3"/>
    <w:rsid w:val="00397CAD"/>
    <w:rsid w:val="00397D01"/>
    <w:rsid w:val="00397E2A"/>
    <w:rsid w:val="00397F94"/>
    <w:rsid w:val="003A04CA"/>
    <w:rsid w:val="003A051E"/>
    <w:rsid w:val="003A0546"/>
    <w:rsid w:val="003A07D0"/>
    <w:rsid w:val="003A098F"/>
    <w:rsid w:val="003A0A54"/>
    <w:rsid w:val="003A0C89"/>
    <w:rsid w:val="003A0E02"/>
    <w:rsid w:val="003A12BF"/>
    <w:rsid w:val="003A1378"/>
    <w:rsid w:val="003A1513"/>
    <w:rsid w:val="003A188C"/>
    <w:rsid w:val="003A18A7"/>
    <w:rsid w:val="003A199C"/>
    <w:rsid w:val="003A1C81"/>
    <w:rsid w:val="003A1DD2"/>
    <w:rsid w:val="003A1E51"/>
    <w:rsid w:val="003A212A"/>
    <w:rsid w:val="003A2229"/>
    <w:rsid w:val="003A2330"/>
    <w:rsid w:val="003A24BA"/>
    <w:rsid w:val="003A27F1"/>
    <w:rsid w:val="003A299F"/>
    <w:rsid w:val="003A2CE3"/>
    <w:rsid w:val="003A2CFD"/>
    <w:rsid w:val="003A2D28"/>
    <w:rsid w:val="003A30B7"/>
    <w:rsid w:val="003A3451"/>
    <w:rsid w:val="003A36EA"/>
    <w:rsid w:val="003A37BD"/>
    <w:rsid w:val="003A389B"/>
    <w:rsid w:val="003A3A77"/>
    <w:rsid w:val="003A3C18"/>
    <w:rsid w:val="003A3E91"/>
    <w:rsid w:val="003A3F02"/>
    <w:rsid w:val="003A3F2B"/>
    <w:rsid w:val="003A40E0"/>
    <w:rsid w:val="003A4253"/>
    <w:rsid w:val="003A4449"/>
    <w:rsid w:val="003A454B"/>
    <w:rsid w:val="003A4602"/>
    <w:rsid w:val="003A47EE"/>
    <w:rsid w:val="003A490C"/>
    <w:rsid w:val="003A4933"/>
    <w:rsid w:val="003A4A40"/>
    <w:rsid w:val="003A4BB7"/>
    <w:rsid w:val="003A4C0F"/>
    <w:rsid w:val="003A4E0E"/>
    <w:rsid w:val="003A4EAF"/>
    <w:rsid w:val="003A4F3E"/>
    <w:rsid w:val="003A511A"/>
    <w:rsid w:val="003A53DC"/>
    <w:rsid w:val="003A545C"/>
    <w:rsid w:val="003A548B"/>
    <w:rsid w:val="003A5584"/>
    <w:rsid w:val="003A565C"/>
    <w:rsid w:val="003A577C"/>
    <w:rsid w:val="003A58D0"/>
    <w:rsid w:val="003A58E7"/>
    <w:rsid w:val="003A5AB0"/>
    <w:rsid w:val="003A5AC4"/>
    <w:rsid w:val="003A5B93"/>
    <w:rsid w:val="003A5BAE"/>
    <w:rsid w:val="003A5C66"/>
    <w:rsid w:val="003A5D4E"/>
    <w:rsid w:val="003A5D9F"/>
    <w:rsid w:val="003A5E4A"/>
    <w:rsid w:val="003A5E82"/>
    <w:rsid w:val="003A5EEE"/>
    <w:rsid w:val="003A60E3"/>
    <w:rsid w:val="003A628A"/>
    <w:rsid w:val="003A63DC"/>
    <w:rsid w:val="003A6433"/>
    <w:rsid w:val="003A6712"/>
    <w:rsid w:val="003A67EA"/>
    <w:rsid w:val="003A6A22"/>
    <w:rsid w:val="003A6ABF"/>
    <w:rsid w:val="003A6B97"/>
    <w:rsid w:val="003A6C11"/>
    <w:rsid w:val="003A6F13"/>
    <w:rsid w:val="003A6F4C"/>
    <w:rsid w:val="003A6FE1"/>
    <w:rsid w:val="003A7325"/>
    <w:rsid w:val="003A73D6"/>
    <w:rsid w:val="003A793A"/>
    <w:rsid w:val="003A7965"/>
    <w:rsid w:val="003A7F80"/>
    <w:rsid w:val="003B0109"/>
    <w:rsid w:val="003B01B0"/>
    <w:rsid w:val="003B02C9"/>
    <w:rsid w:val="003B033D"/>
    <w:rsid w:val="003B0492"/>
    <w:rsid w:val="003B0494"/>
    <w:rsid w:val="003B04C0"/>
    <w:rsid w:val="003B05B4"/>
    <w:rsid w:val="003B08BD"/>
    <w:rsid w:val="003B0C34"/>
    <w:rsid w:val="003B0CD7"/>
    <w:rsid w:val="003B0D9A"/>
    <w:rsid w:val="003B0E7C"/>
    <w:rsid w:val="003B0E89"/>
    <w:rsid w:val="003B0FD3"/>
    <w:rsid w:val="003B101D"/>
    <w:rsid w:val="003B1038"/>
    <w:rsid w:val="003B105B"/>
    <w:rsid w:val="003B1391"/>
    <w:rsid w:val="003B16F8"/>
    <w:rsid w:val="003B1794"/>
    <w:rsid w:val="003B1B3F"/>
    <w:rsid w:val="003B1B5D"/>
    <w:rsid w:val="003B1C3B"/>
    <w:rsid w:val="003B24EB"/>
    <w:rsid w:val="003B2567"/>
    <w:rsid w:val="003B2797"/>
    <w:rsid w:val="003B282A"/>
    <w:rsid w:val="003B282B"/>
    <w:rsid w:val="003B2897"/>
    <w:rsid w:val="003B29FA"/>
    <w:rsid w:val="003B2B53"/>
    <w:rsid w:val="003B2BAB"/>
    <w:rsid w:val="003B2BE1"/>
    <w:rsid w:val="003B2FBA"/>
    <w:rsid w:val="003B3052"/>
    <w:rsid w:val="003B31A5"/>
    <w:rsid w:val="003B3B26"/>
    <w:rsid w:val="003B3B8B"/>
    <w:rsid w:val="003B3FDF"/>
    <w:rsid w:val="003B4137"/>
    <w:rsid w:val="003B4326"/>
    <w:rsid w:val="003B455B"/>
    <w:rsid w:val="003B4560"/>
    <w:rsid w:val="003B4660"/>
    <w:rsid w:val="003B4712"/>
    <w:rsid w:val="003B4AB2"/>
    <w:rsid w:val="003B4AD4"/>
    <w:rsid w:val="003B4AD7"/>
    <w:rsid w:val="003B4C19"/>
    <w:rsid w:val="003B4D65"/>
    <w:rsid w:val="003B4DDF"/>
    <w:rsid w:val="003B4DF4"/>
    <w:rsid w:val="003B5056"/>
    <w:rsid w:val="003B50B5"/>
    <w:rsid w:val="003B51A6"/>
    <w:rsid w:val="003B53A4"/>
    <w:rsid w:val="003B54C2"/>
    <w:rsid w:val="003B551C"/>
    <w:rsid w:val="003B55ED"/>
    <w:rsid w:val="003B57E9"/>
    <w:rsid w:val="003B5826"/>
    <w:rsid w:val="003B582E"/>
    <w:rsid w:val="003B5DC5"/>
    <w:rsid w:val="003B61C3"/>
    <w:rsid w:val="003B62E7"/>
    <w:rsid w:val="003B64C0"/>
    <w:rsid w:val="003B6562"/>
    <w:rsid w:val="003B6577"/>
    <w:rsid w:val="003B65E1"/>
    <w:rsid w:val="003B66F6"/>
    <w:rsid w:val="003B680F"/>
    <w:rsid w:val="003B6838"/>
    <w:rsid w:val="003B6A1B"/>
    <w:rsid w:val="003B6A42"/>
    <w:rsid w:val="003B6D9C"/>
    <w:rsid w:val="003B701D"/>
    <w:rsid w:val="003B7037"/>
    <w:rsid w:val="003B7069"/>
    <w:rsid w:val="003B7078"/>
    <w:rsid w:val="003B7143"/>
    <w:rsid w:val="003B718A"/>
    <w:rsid w:val="003B71A3"/>
    <w:rsid w:val="003B73A4"/>
    <w:rsid w:val="003B76BD"/>
    <w:rsid w:val="003B77EB"/>
    <w:rsid w:val="003B78DB"/>
    <w:rsid w:val="003B7F59"/>
    <w:rsid w:val="003C010D"/>
    <w:rsid w:val="003C01D3"/>
    <w:rsid w:val="003C0256"/>
    <w:rsid w:val="003C027A"/>
    <w:rsid w:val="003C028D"/>
    <w:rsid w:val="003C0452"/>
    <w:rsid w:val="003C0506"/>
    <w:rsid w:val="003C05EB"/>
    <w:rsid w:val="003C06F3"/>
    <w:rsid w:val="003C074F"/>
    <w:rsid w:val="003C07D6"/>
    <w:rsid w:val="003C088B"/>
    <w:rsid w:val="003C091A"/>
    <w:rsid w:val="003C0B3D"/>
    <w:rsid w:val="003C0B97"/>
    <w:rsid w:val="003C0DA5"/>
    <w:rsid w:val="003C0E0E"/>
    <w:rsid w:val="003C0E91"/>
    <w:rsid w:val="003C0EF6"/>
    <w:rsid w:val="003C0F27"/>
    <w:rsid w:val="003C109D"/>
    <w:rsid w:val="003C1161"/>
    <w:rsid w:val="003C11B6"/>
    <w:rsid w:val="003C11FD"/>
    <w:rsid w:val="003C1487"/>
    <w:rsid w:val="003C18DC"/>
    <w:rsid w:val="003C1A0F"/>
    <w:rsid w:val="003C1AD3"/>
    <w:rsid w:val="003C1BC9"/>
    <w:rsid w:val="003C1BED"/>
    <w:rsid w:val="003C1E44"/>
    <w:rsid w:val="003C1E7E"/>
    <w:rsid w:val="003C1F3C"/>
    <w:rsid w:val="003C1FE5"/>
    <w:rsid w:val="003C20CB"/>
    <w:rsid w:val="003C272B"/>
    <w:rsid w:val="003C27EC"/>
    <w:rsid w:val="003C2ABB"/>
    <w:rsid w:val="003C2C74"/>
    <w:rsid w:val="003C2FC9"/>
    <w:rsid w:val="003C312B"/>
    <w:rsid w:val="003C323B"/>
    <w:rsid w:val="003C32EF"/>
    <w:rsid w:val="003C3389"/>
    <w:rsid w:val="003C33B5"/>
    <w:rsid w:val="003C35EA"/>
    <w:rsid w:val="003C376D"/>
    <w:rsid w:val="003C37A9"/>
    <w:rsid w:val="003C3924"/>
    <w:rsid w:val="003C3D3B"/>
    <w:rsid w:val="003C3FD3"/>
    <w:rsid w:val="003C43B9"/>
    <w:rsid w:val="003C45A9"/>
    <w:rsid w:val="003C46FE"/>
    <w:rsid w:val="003C484D"/>
    <w:rsid w:val="003C498C"/>
    <w:rsid w:val="003C49A6"/>
    <w:rsid w:val="003C4AAF"/>
    <w:rsid w:val="003C4BAE"/>
    <w:rsid w:val="003C4CC5"/>
    <w:rsid w:val="003C541A"/>
    <w:rsid w:val="003C5483"/>
    <w:rsid w:val="003C549C"/>
    <w:rsid w:val="003C5709"/>
    <w:rsid w:val="003C5761"/>
    <w:rsid w:val="003C576D"/>
    <w:rsid w:val="003C5AEE"/>
    <w:rsid w:val="003C5C01"/>
    <w:rsid w:val="003C5E36"/>
    <w:rsid w:val="003C5E91"/>
    <w:rsid w:val="003C5EE1"/>
    <w:rsid w:val="003C5F0C"/>
    <w:rsid w:val="003C6246"/>
    <w:rsid w:val="003C64AC"/>
    <w:rsid w:val="003C64CC"/>
    <w:rsid w:val="003C65BD"/>
    <w:rsid w:val="003C68B7"/>
    <w:rsid w:val="003C6935"/>
    <w:rsid w:val="003C6A64"/>
    <w:rsid w:val="003C6B8F"/>
    <w:rsid w:val="003C6E49"/>
    <w:rsid w:val="003C6F2F"/>
    <w:rsid w:val="003C707D"/>
    <w:rsid w:val="003C70A5"/>
    <w:rsid w:val="003C70AD"/>
    <w:rsid w:val="003C751D"/>
    <w:rsid w:val="003C77A2"/>
    <w:rsid w:val="003C7970"/>
    <w:rsid w:val="003C7D60"/>
    <w:rsid w:val="003C7F09"/>
    <w:rsid w:val="003D0002"/>
    <w:rsid w:val="003D003E"/>
    <w:rsid w:val="003D009B"/>
    <w:rsid w:val="003D0134"/>
    <w:rsid w:val="003D01CC"/>
    <w:rsid w:val="003D01D0"/>
    <w:rsid w:val="003D0276"/>
    <w:rsid w:val="003D067F"/>
    <w:rsid w:val="003D0863"/>
    <w:rsid w:val="003D0873"/>
    <w:rsid w:val="003D0A9E"/>
    <w:rsid w:val="003D0B87"/>
    <w:rsid w:val="003D0D88"/>
    <w:rsid w:val="003D1113"/>
    <w:rsid w:val="003D132B"/>
    <w:rsid w:val="003D14E0"/>
    <w:rsid w:val="003D18A7"/>
    <w:rsid w:val="003D1A37"/>
    <w:rsid w:val="003D1B45"/>
    <w:rsid w:val="003D1E76"/>
    <w:rsid w:val="003D1EF9"/>
    <w:rsid w:val="003D1FB3"/>
    <w:rsid w:val="003D1FDF"/>
    <w:rsid w:val="003D214D"/>
    <w:rsid w:val="003D23B9"/>
    <w:rsid w:val="003D2401"/>
    <w:rsid w:val="003D2465"/>
    <w:rsid w:val="003D247F"/>
    <w:rsid w:val="003D2626"/>
    <w:rsid w:val="003D2642"/>
    <w:rsid w:val="003D26C6"/>
    <w:rsid w:val="003D283F"/>
    <w:rsid w:val="003D2882"/>
    <w:rsid w:val="003D2886"/>
    <w:rsid w:val="003D2A65"/>
    <w:rsid w:val="003D2C62"/>
    <w:rsid w:val="003D2E81"/>
    <w:rsid w:val="003D2EAE"/>
    <w:rsid w:val="003D326F"/>
    <w:rsid w:val="003D32E1"/>
    <w:rsid w:val="003D337A"/>
    <w:rsid w:val="003D360C"/>
    <w:rsid w:val="003D37A8"/>
    <w:rsid w:val="003D395C"/>
    <w:rsid w:val="003D3A6F"/>
    <w:rsid w:val="003D3E24"/>
    <w:rsid w:val="003D3FC1"/>
    <w:rsid w:val="003D3FE0"/>
    <w:rsid w:val="003D4028"/>
    <w:rsid w:val="003D405B"/>
    <w:rsid w:val="003D4290"/>
    <w:rsid w:val="003D438A"/>
    <w:rsid w:val="003D438E"/>
    <w:rsid w:val="003D44CC"/>
    <w:rsid w:val="003D4537"/>
    <w:rsid w:val="003D4666"/>
    <w:rsid w:val="003D46F6"/>
    <w:rsid w:val="003D47C6"/>
    <w:rsid w:val="003D49DD"/>
    <w:rsid w:val="003D4AA0"/>
    <w:rsid w:val="003D4CB9"/>
    <w:rsid w:val="003D4E21"/>
    <w:rsid w:val="003D4F3D"/>
    <w:rsid w:val="003D4F9E"/>
    <w:rsid w:val="003D4FAD"/>
    <w:rsid w:val="003D501B"/>
    <w:rsid w:val="003D513B"/>
    <w:rsid w:val="003D5288"/>
    <w:rsid w:val="003D5300"/>
    <w:rsid w:val="003D54A7"/>
    <w:rsid w:val="003D550D"/>
    <w:rsid w:val="003D5514"/>
    <w:rsid w:val="003D55EC"/>
    <w:rsid w:val="003D57EE"/>
    <w:rsid w:val="003D591A"/>
    <w:rsid w:val="003D594D"/>
    <w:rsid w:val="003D5B27"/>
    <w:rsid w:val="003D5C78"/>
    <w:rsid w:val="003D5DD7"/>
    <w:rsid w:val="003D5FB9"/>
    <w:rsid w:val="003D6436"/>
    <w:rsid w:val="003D6465"/>
    <w:rsid w:val="003D6592"/>
    <w:rsid w:val="003D65C4"/>
    <w:rsid w:val="003D68BE"/>
    <w:rsid w:val="003D69B4"/>
    <w:rsid w:val="003D6ABD"/>
    <w:rsid w:val="003D6AEA"/>
    <w:rsid w:val="003D6D01"/>
    <w:rsid w:val="003D6D39"/>
    <w:rsid w:val="003D6E6E"/>
    <w:rsid w:val="003D6F6D"/>
    <w:rsid w:val="003D7094"/>
    <w:rsid w:val="003D71AF"/>
    <w:rsid w:val="003D7363"/>
    <w:rsid w:val="003D73E2"/>
    <w:rsid w:val="003D75AB"/>
    <w:rsid w:val="003D7856"/>
    <w:rsid w:val="003D78D7"/>
    <w:rsid w:val="003D7941"/>
    <w:rsid w:val="003D7D36"/>
    <w:rsid w:val="003D7ED4"/>
    <w:rsid w:val="003E0184"/>
    <w:rsid w:val="003E01C6"/>
    <w:rsid w:val="003E0304"/>
    <w:rsid w:val="003E03DB"/>
    <w:rsid w:val="003E0848"/>
    <w:rsid w:val="003E0A22"/>
    <w:rsid w:val="003E0A7C"/>
    <w:rsid w:val="003E0B91"/>
    <w:rsid w:val="003E0BD6"/>
    <w:rsid w:val="003E0C17"/>
    <w:rsid w:val="003E0C9A"/>
    <w:rsid w:val="003E0D35"/>
    <w:rsid w:val="003E0F53"/>
    <w:rsid w:val="003E1156"/>
    <w:rsid w:val="003E12FC"/>
    <w:rsid w:val="003E161E"/>
    <w:rsid w:val="003E181C"/>
    <w:rsid w:val="003E183C"/>
    <w:rsid w:val="003E1894"/>
    <w:rsid w:val="003E1C87"/>
    <w:rsid w:val="003E1D9D"/>
    <w:rsid w:val="003E1E83"/>
    <w:rsid w:val="003E1FB9"/>
    <w:rsid w:val="003E2088"/>
    <w:rsid w:val="003E2102"/>
    <w:rsid w:val="003E2126"/>
    <w:rsid w:val="003E22E3"/>
    <w:rsid w:val="003E252F"/>
    <w:rsid w:val="003E25FB"/>
    <w:rsid w:val="003E2779"/>
    <w:rsid w:val="003E2D4C"/>
    <w:rsid w:val="003E2E58"/>
    <w:rsid w:val="003E32A8"/>
    <w:rsid w:val="003E3305"/>
    <w:rsid w:val="003E3332"/>
    <w:rsid w:val="003E33B5"/>
    <w:rsid w:val="003E3451"/>
    <w:rsid w:val="003E346F"/>
    <w:rsid w:val="003E3491"/>
    <w:rsid w:val="003E35B3"/>
    <w:rsid w:val="003E3935"/>
    <w:rsid w:val="003E3A92"/>
    <w:rsid w:val="003E3CC2"/>
    <w:rsid w:val="003E3F80"/>
    <w:rsid w:val="003E4010"/>
    <w:rsid w:val="003E4204"/>
    <w:rsid w:val="003E472C"/>
    <w:rsid w:val="003E4936"/>
    <w:rsid w:val="003E493B"/>
    <w:rsid w:val="003E4B4F"/>
    <w:rsid w:val="003E4D4C"/>
    <w:rsid w:val="003E4D50"/>
    <w:rsid w:val="003E4DB3"/>
    <w:rsid w:val="003E5072"/>
    <w:rsid w:val="003E5211"/>
    <w:rsid w:val="003E5391"/>
    <w:rsid w:val="003E5426"/>
    <w:rsid w:val="003E5588"/>
    <w:rsid w:val="003E56CE"/>
    <w:rsid w:val="003E573D"/>
    <w:rsid w:val="003E57F9"/>
    <w:rsid w:val="003E5A8D"/>
    <w:rsid w:val="003E5D7C"/>
    <w:rsid w:val="003E605F"/>
    <w:rsid w:val="003E60D0"/>
    <w:rsid w:val="003E650A"/>
    <w:rsid w:val="003E6709"/>
    <w:rsid w:val="003E676B"/>
    <w:rsid w:val="003E67FF"/>
    <w:rsid w:val="003E682C"/>
    <w:rsid w:val="003E68FE"/>
    <w:rsid w:val="003E69A5"/>
    <w:rsid w:val="003E6A2E"/>
    <w:rsid w:val="003E6AAC"/>
    <w:rsid w:val="003E6CC9"/>
    <w:rsid w:val="003E6E53"/>
    <w:rsid w:val="003E6FF1"/>
    <w:rsid w:val="003E7380"/>
    <w:rsid w:val="003E77B3"/>
    <w:rsid w:val="003E7CF4"/>
    <w:rsid w:val="003E7D94"/>
    <w:rsid w:val="003F0148"/>
    <w:rsid w:val="003F038E"/>
    <w:rsid w:val="003F0449"/>
    <w:rsid w:val="003F060C"/>
    <w:rsid w:val="003F08DF"/>
    <w:rsid w:val="003F0BC8"/>
    <w:rsid w:val="003F0C3E"/>
    <w:rsid w:val="003F0D83"/>
    <w:rsid w:val="003F0F07"/>
    <w:rsid w:val="003F0F0F"/>
    <w:rsid w:val="003F11F9"/>
    <w:rsid w:val="003F1210"/>
    <w:rsid w:val="003F1500"/>
    <w:rsid w:val="003F160D"/>
    <w:rsid w:val="003F17CA"/>
    <w:rsid w:val="003F1876"/>
    <w:rsid w:val="003F190D"/>
    <w:rsid w:val="003F1C3C"/>
    <w:rsid w:val="003F2174"/>
    <w:rsid w:val="003F229A"/>
    <w:rsid w:val="003F233E"/>
    <w:rsid w:val="003F24DE"/>
    <w:rsid w:val="003F2513"/>
    <w:rsid w:val="003F257C"/>
    <w:rsid w:val="003F2597"/>
    <w:rsid w:val="003F2918"/>
    <w:rsid w:val="003F2A8E"/>
    <w:rsid w:val="003F2BF6"/>
    <w:rsid w:val="003F2ED3"/>
    <w:rsid w:val="003F2FD2"/>
    <w:rsid w:val="003F3076"/>
    <w:rsid w:val="003F3183"/>
    <w:rsid w:val="003F31B2"/>
    <w:rsid w:val="003F3264"/>
    <w:rsid w:val="003F328A"/>
    <w:rsid w:val="003F32F4"/>
    <w:rsid w:val="003F333C"/>
    <w:rsid w:val="003F3360"/>
    <w:rsid w:val="003F337B"/>
    <w:rsid w:val="003F3466"/>
    <w:rsid w:val="003F34CA"/>
    <w:rsid w:val="003F351A"/>
    <w:rsid w:val="003F369A"/>
    <w:rsid w:val="003F3742"/>
    <w:rsid w:val="003F37A5"/>
    <w:rsid w:val="003F38ED"/>
    <w:rsid w:val="003F399B"/>
    <w:rsid w:val="003F3A19"/>
    <w:rsid w:val="003F3B67"/>
    <w:rsid w:val="003F3B85"/>
    <w:rsid w:val="003F3E06"/>
    <w:rsid w:val="003F3E8F"/>
    <w:rsid w:val="003F3F7F"/>
    <w:rsid w:val="003F3F8B"/>
    <w:rsid w:val="003F422B"/>
    <w:rsid w:val="003F43C1"/>
    <w:rsid w:val="003F46AF"/>
    <w:rsid w:val="003F4763"/>
    <w:rsid w:val="003F47B3"/>
    <w:rsid w:val="003F4B7C"/>
    <w:rsid w:val="003F4C51"/>
    <w:rsid w:val="003F4ED4"/>
    <w:rsid w:val="003F4F35"/>
    <w:rsid w:val="003F4F42"/>
    <w:rsid w:val="003F50CC"/>
    <w:rsid w:val="003F51CB"/>
    <w:rsid w:val="003F526C"/>
    <w:rsid w:val="003F5341"/>
    <w:rsid w:val="003F5349"/>
    <w:rsid w:val="003F5406"/>
    <w:rsid w:val="003F55FC"/>
    <w:rsid w:val="003F5740"/>
    <w:rsid w:val="003F596B"/>
    <w:rsid w:val="003F59C2"/>
    <w:rsid w:val="003F5C53"/>
    <w:rsid w:val="003F5CFF"/>
    <w:rsid w:val="003F5D09"/>
    <w:rsid w:val="003F5FC0"/>
    <w:rsid w:val="003F62F8"/>
    <w:rsid w:val="003F6888"/>
    <w:rsid w:val="003F69E3"/>
    <w:rsid w:val="003F6A97"/>
    <w:rsid w:val="003F6B30"/>
    <w:rsid w:val="003F6D9C"/>
    <w:rsid w:val="003F6EDE"/>
    <w:rsid w:val="003F6F63"/>
    <w:rsid w:val="003F73B7"/>
    <w:rsid w:val="003F780F"/>
    <w:rsid w:val="003F7C4A"/>
    <w:rsid w:val="003F7CE7"/>
    <w:rsid w:val="003F7E8D"/>
    <w:rsid w:val="003F7F5C"/>
    <w:rsid w:val="004002C3"/>
    <w:rsid w:val="00400409"/>
    <w:rsid w:val="004005C2"/>
    <w:rsid w:val="0040066D"/>
    <w:rsid w:val="00400D52"/>
    <w:rsid w:val="00400F98"/>
    <w:rsid w:val="00401109"/>
    <w:rsid w:val="004011C1"/>
    <w:rsid w:val="00401359"/>
    <w:rsid w:val="0040147D"/>
    <w:rsid w:val="0040149F"/>
    <w:rsid w:val="00401629"/>
    <w:rsid w:val="00401768"/>
    <w:rsid w:val="004017AD"/>
    <w:rsid w:val="00401A26"/>
    <w:rsid w:val="00401A2B"/>
    <w:rsid w:val="00401AD2"/>
    <w:rsid w:val="00401AE5"/>
    <w:rsid w:val="00401B9D"/>
    <w:rsid w:val="00401C0B"/>
    <w:rsid w:val="00401C48"/>
    <w:rsid w:val="00401DB5"/>
    <w:rsid w:val="00401F1B"/>
    <w:rsid w:val="00402041"/>
    <w:rsid w:val="0040206C"/>
    <w:rsid w:val="00402097"/>
    <w:rsid w:val="004021BE"/>
    <w:rsid w:val="00402376"/>
    <w:rsid w:val="0040242D"/>
    <w:rsid w:val="00402442"/>
    <w:rsid w:val="004026EE"/>
    <w:rsid w:val="00402727"/>
    <w:rsid w:val="00402817"/>
    <w:rsid w:val="00402A33"/>
    <w:rsid w:val="00402AB0"/>
    <w:rsid w:val="00402BD6"/>
    <w:rsid w:val="00402DC2"/>
    <w:rsid w:val="00402DD8"/>
    <w:rsid w:val="00402FF3"/>
    <w:rsid w:val="004031B1"/>
    <w:rsid w:val="0040349A"/>
    <w:rsid w:val="004034F3"/>
    <w:rsid w:val="00403881"/>
    <w:rsid w:val="00403B38"/>
    <w:rsid w:val="00403C54"/>
    <w:rsid w:val="00403CED"/>
    <w:rsid w:val="00403D8F"/>
    <w:rsid w:val="00403E23"/>
    <w:rsid w:val="00403E61"/>
    <w:rsid w:val="00403ED9"/>
    <w:rsid w:val="00403F28"/>
    <w:rsid w:val="0040425A"/>
    <w:rsid w:val="004042AA"/>
    <w:rsid w:val="0040446E"/>
    <w:rsid w:val="004044A4"/>
    <w:rsid w:val="004044EF"/>
    <w:rsid w:val="004047C3"/>
    <w:rsid w:val="004048DF"/>
    <w:rsid w:val="0040499F"/>
    <w:rsid w:val="00404C27"/>
    <w:rsid w:val="004052C1"/>
    <w:rsid w:val="00405440"/>
    <w:rsid w:val="004054D4"/>
    <w:rsid w:val="0040564F"/>
    <w:rsid w:val="00405687"/>
    <w:rsid w:val="00405A53"/>
    <w:rsid w:val="00405D3E"/>
    <w:rsid w:val="00405ED9"/>
    <w:rsid w:val="004063F1"/>
    <w:rsid w:val="0040641B"/>
    <w:rsid w:val="00406542"/>
    <w:rsid w:val="0040663C"/>
    <w:rsid w:val="00406682"/>
    <w:rsid w:val="004066CD"/>
    <w:rsid w:val="0040674D"/>
    <w:rsid w:val="00406B36"/>
    <w:rsid w:val="00406B4F"/>
    <w:rsid w:val="00406CE1"/>
    <w:rsid w:val="00406DF6"/>
    <w:rsid w:val="004070F6"/>
    <w:rsid w:val="00407693"/>
    <w:rsid w:val="004079A8"/>
    <w:rsid w:val="00407A22"/>
    <w:rsid w:val="00407BED"/>
    <w:rsid w:val="00407CFD"/>
    <w:rsid w:val="00407D3B"/>
    <w:rsid w:val="00407EED"/>
    <w:rsid w:val="0041008D"/>
    <w:rsid w:val="004100A7"/>
    <w:rsid w:val="0041033D"/>
    <w:rsid w:val="004104A6"/>
    <w:rsid w:val="004104E1"/>
    <w:rsid w:val="00410570"/>
    <w:rsid w:val="00410695"/>
    <w:rsid w:val="00410875"/>
    <w:rsid w:val="00410AF4"/>
    <w:rsid w:val="00410B80"/>
    <w:rsid w:val="00410CBD"/>
    <w:rsid w:val="00410CC4"/>
    <w:rsid w:val="00410D45"/>
    <w:rsid w:val="00410DF6"/>
    <w:rsid w:val="004112D2"/>
    <w:rsid w:val="00411391"/>
    <w:rsid w:val="004114B4"/>
    <w:rsid w:val="00411583"/>
    <w:rsid w:val="004116A0"/>
    <w:rsid w:val="004116F8"/>
    <w:rsid w:val="0041184E"/>
    <w:rsid w:val="0041185B"/>
    <w:rsid w:val="00411985"/>
    <w:rsid w:val="00411AB4"/>
    <w:rsid w:val="00411D0E"/>
    <w:rsid w:val="0041210E"/>
    <w:rsid w:val="00412355"/>
    <w:rsid w:val="004123C0"/>
    <w:rsid w:val="0041258C"/>
    <w:rsid w:val="004128FC"/>
    <w:rsid w:val="00412ABD"/>
    <w:rsid w:val="00413129"/>
    <w:rsid w:val="00413258"/>
    <w:rsid w:val="004132A6"/>
    <w:rsid w:val="00413602"/>
    <w:rsid w:val="00413880"/>
    <w:rsid w:val="00413A85"/>
    <w:rsid w:val="00413B72"/>
    <w:rsid w:val="00414272"/>
    <w:rsid w:val="004144BE"/>
    <w:rsid w:val="0041462A"/>
    <w:rsid w:val="004147F2"/>
    <w:rsid w:val="004147F4"/>
    <w:rsid w:val="0041490C"/>
    <w:rsid w:val="00414B05"/>
    <w:rsid w:val="00414DAE"/>
    <w:rsid w:val="00415175"/>
    <w:rsid w:val="0041521C"/>
    <w:rsid w:val="00415419"/>
    <w:rsid w:val="00415482"/>
    <w:rsid w:val="004156DC"/>
    <w:rsid w:val="00415916"/>
    <w:rsid w:val="0041595D"/>
    <w:rsid w:val="00415A0A"/>
    <w:rsid w:val="00415A4A"/>
    <w:rsid w:val="00415B5E"/>
    <w:rsid w:val="00415D3B"/>
    <w:rsid w:val="00415E26"/>
    <w:rsid w:val="00415F76"/>
    <w:rsid w:val="00415FB4"/>
    <w:rsid w:val="00415FED"/>
    <w:rsid w:val="00416096"/>
    <w:rsid w:val="0041618E"/>
    <w:rsid w:val="004164F5"/>
    <w:rsid w:val="00416693"/>
    <w:rsid w:val="0041689F"/>
    <w:rsid w:val="004168AF"/>
    <w:rsid w:val="00416993"/>
    <w:rsid w:val="00416A97"/>
    <w:rsid w:val="00416BE9"/>
    <w:rsid w:val="0041711A"/>
    <w:rsid w:val="004172FF"/>
    <w:rsid w:val="00417404"/>
    <w:rsid w:val="004174AB"/>
    <w:rsid w:val="0041763D"/>
    <w:rsid w:val="00417669"/>
    <w:rsid w:val="00417682"/>
    <w:rsid w:val="0041788F"/>
    <w:rsid w:val="00417938"/>
    <w:rsid w:val="00417AE1"/>
    <w:rsid w:val="00417E23"/>
    <w:rsid w:val="00417F11"/>
    <w:rsid w:val="00417FBD"/>
    <w:rsid w:val="0042009E"/>
    <w:rsid w:val="00420171"/>
    <w:rsid w:val="00420356"/>
    <w:rsid w:val="0042037C"/>
    <w:rsid w:val="0042037F"/>
    <w:rsid w:val="004203DE"/>
    <w:rsid w:val="004206F5"/>
    <w:rsid w:val="0042082D"/>
    <w:rsid w:val="004208AA"/>
    <w:rsid w:val="00420A18"/>
    <w:rsid w:val="00420A3C"/>
    <w:rsid w:val="00420A3F"/>
    <w:rsid w:val="00420B08"/>
    <w:rsid w:val="00420B3D"/>
    <w:rsid w:val="00420B53"/>
    <w:rsid w:val="00420F2D"/>
    <w:rsid w:val="004212C4"/>
    <w:rsid w:val="00421434"/>
    <w:rsid w:val="00421467"/>
    <w:rsid w:val="00421928"/>
    <w:rsid w:val="00421971"/>
    <w:rsid w:val="00421979"/>
    <w:rsid w:val="00421AC6"/>
    <w:rsid w:val="00421CF6"/>
    <w:rsid w:val="00421D08"/>
    <w:rsid w:val="00421FCB"/>
    <w:rsid w:val="00421FE5"/>
    <w:rsid w:val="0042208C"/>
    <w:rsid w:val="0042208D"/>
    <w:rsid w:val="004222D7"/>
    <w:rsid w:val="0042264C"/>
    <w:rsid w:val="004228CA"/>
    <w:rsid w:val="00422A54"/>
    <w:rsid w:val="00422ADE"/>
    <w:rsid w:val="00422B02"/>
    <w:rsid w:val="00422B1F"/>
    <w:rsid w:val="00422BE9"/>
    <w:rsid w:val="00422C0B"/>
    <w:rsid w:val="00422D17"/>
    <w:rsid w:val="00422E54"/>
    <w:rsid w:val="00423129"/>
    <w:rsid w:val="0042337B"/>
    <w:rsid w:val="00423479"/>
    <w:rsid w:val="0042348A"/>
    <w:rsid w:val="004234E2"/>
    <w:rsid w:val="00423677"/>
    <w:rsid w:val="00423706"/>
    <w:rsid w:val="004238ED"/>
    <w:rsid w:val="00423ADF"/>
    <w:rsid w:val="00423F85"/>
    <w:rsid w:val="00423F8C"/>
    <w:rsid w:val="004241D6"/>
    <w:rsid w:val="00424461"/>
    <w:rsid w:val="0042472A"/>
    <w:rsid w:val="004247C3"/>
    <w:rsid w:val="004248CF"/>
    <w:rsid w:val="00424934"/>
    <w:rsid w:val="00424957"/>
    <w:rsid w:val="00424ACB"/>
    <w:rsid w:val="00424E4C"/>
    <w:rsid w:val="00424E97"/>
    <w:rsid w:val="00424ECC"/>
    <w:rsid w:val="00424F6A"/>
    <w:rsid w:val="00424FDC"/>
    <w:rsid w:val="00425170"/>
    <w:rsid w:val="00425521"/>
    <w:rsid w:val="00425881"/>
    <w:rsid w:val="00425A1E"/>
    <w:rsid w:val="00425A53"/>
    <w:rsid w:val="00425B13"/>
    <w:rsid w:val="00425C97"/>
    <w:rsid w:val="00425E6D"/>
    <w:rsid w:val="004262C1"/>
    <w:rsid w:val="00426387"/>
    <w:rsid w:val="004264B8"/>
    <w:rsid w:val="00426831"/>
    <w:rsid w:val="004269DE"/>
    <w:rsid w:val="00426BDC"/>
    <w:rsid w:val="00426D6A"/>
    <w:rsid w:val="00426D72"/>
    <w:rsid w:val="00426E34"/>
    <w:rsid w:val="00426F51"/>
    <w:rsid w:val="00426F6E"/>
    <w:rsid w:val="00427273"/>
    <w:rsid w:val="00427827"/>
    <w:rsid w:val="00427AA4"/>
    <w:rsid w:val="00427B79"/>
    <w:rsid w:val="00427BAB"/>
    <w:rsid w:val="00427C60"/>
    <w:rsid w:val="00427C83"/>
    <w:rsid w:val="00427CBB"/>
    <w:rsid w:val="00427ED1"/>
    <w:rsid w:val="004300B9"/>
    <w:rsid w:val="00430134"/>
    <w:rsid w:val="00430172"/>
    <w:rsid w:val="00430763"/>
    <w:rsid w:val="00430785"/>
    <w:rsid w:val="00430794"/>
    <w:rsid w:val="00430A56"/>
    <w:rsid w:val="00430C83"/>
    <w:rsid w:val="00430F13"/>
    <w:rsid w:val="0043119E"/>
    <w:rsid w:val="00431360"/>
    <w:rsid w:val="004314A3"/>
    <w:rsid w:val="00431A2B"/>
    <w:rsid w:val="00431B39"/>
    <w:rsid w:val="00431B86"/>
    <w:rsid w:val="00431BDE"/>
    <w:rsid w:val="00431BE0"/>
    <w:rsid w:val="00431C1E"/>
    <w:rsid w:val="00431C68"/>
    <w:rsid w:val="00432018"/>
    <w:rsid w:val="00432155"/>
    <w:rsid w:val="004327ED"/>
    <w:rsid w:val="0043299C"/>
    <w:rsid w:val="004329F5"/>
    <w:rsid w:val="00432CC3"/>
    <w:rsid w:val="00432D2B"/>
    <w:rsid w:val="00432D4A"/>
    <w:rsid w:val="00432D95"/>
    <w:rsid w:val="00432DB5"/>
    <w:rsid w:val="00432EF1"/>
    <w:rsid w:val="00432FC2"/>
    <w:rsid w:val="00433158"/>
    <w:rsid w:val="004333AF"/>
    <w:rsid w:val="0043361E"/>
    <w:rsid w:val="00433653"/>
    <w:rsid w:val="0043398D"/>
    <w:rsid w:val="004339EE"/>
    <w:rsid w:val="00433D5A"/>
    <w:rsid w:val="00433DDB"/>
    <w:rsid w:val="004341A0"/>
    <w:rsid w:val="00434318"/>
    <w:rsid w:val="0043440B"/>
    <w:rsid w:val="0043444F"/>
    <w:rsid w:val="004346CA"/>
    <w:rsid w:val="004348EF"/>
    <w:rsid w:val="00434CCF"/>
    <w:rsid w:val="00434D47"/>
    <w:rsid w:val="00434FD8"/>
    <w:rsid w:val="004350E2"/>
    <w:rsid w:val="004353A2"/>
    <w:rsid w:val="004353EE"/>
    <w:rsid w:val="00435788"/>
    <w:rsid w:val="00435963"/>
    <w:rsid w:val="00435A51"/>
    <w:rsid w:val="00435BED"/>
    <w:rsid w:val="00435FAD"/>
    <w:rsid w:val="004361FE"/>
    <w:rsid w:val="00436354"/>
    <w:rsid w:val="00436398"/>
    <w:rsid w:val="00436661"/>
    <w:rsid w:val="0043672F"/>
    <w:rsid w:val="004367FB"/>
    <w:rsid w:val="004368CA"/>
    <w:rsid w:val="00436928"/>
    <w:rsid w:val="004369B6"/>
    <w:rsid w:val="00436AB6"/>
    <w:rsid w:val="00436D15"/>
    <w:rsid w:val="00436FA9"/>
    <w:rsid w:val="00436FF1"/>
    <w:rsid w:val="00436FF5"/>
    <w:rsid w:val="0043756D"/>
    <w:rsid w:val="004375BD"/>
    <w:rsid w:val="00437831"/>
    <w:rsid w:val="00437891"/>
    <w:rsid w:val="004379EA"/>
    <w:rsid w:val="00437CE4"/>
    <w:rsid w:val="00437D47"/>
    <w:rsid w:val="00440065"/>
    <w:rsid w:val="00440242"/>
    <w:rsid w:val="004402F0"/>
    <w:rsid w:val="00440325"/>
    <w:rsid w:val="00440718"/>
    <w:rsid w:val="004407DA"/>
    <w:rsid w:val="00440C3D"/>
    <w:rsid w:val="00440D49"/>
    <w:rsid w:val="00441130"/>
    <w:rsid w:val="004411FE"/>
    <w:rsid w:val="004412EC"/>
    <w:rsid w:val="00441505"/>
    <w:rsid w:val="00441A28"/>
    <w:rsid w:val="00441ACE"/>
    <w:rsid w:val="00441AFC"/>
    <w:rsid w:val="00441BA9"/>
    <w:rsid w:val="00441BE0"/>
    <w:rsid w:val="00441C0B"/>
    <w:rsid w:val="00441C4B"/>
    <w:rsid w:val="00442051"/>
    <w:rsid w:val="0044208A"/>
    <w:rsid w:val="004420B9"/>
    <w:rsid w:val="0044238F"/>
    <w:rsid w:val="00442679"/>
    <w:rsid w:val="004427BA"/>
    <w:rsid w:val="00442C79"/>
    <w:rsid w:val="00442CD0"/>
    <w:rsid w:val="00442D2C"/>
    <w:rsid w:val="00442D87"/>
    <w:rsid w:val="00442E67"/>
    <w:rsid w:val="00442F1F"/>
    <w:rsid w:val="004432EA"/>
    <w:rsid w:val="004436BA"/>
    <w:rsid w:val="00443742"/>
    <w:rsid w:val="004437AA"/>
    <w:rsid w:val="004437C9"/>
    <w:rsid w:val="004439DB"/>
    <w:rsid w:val="0044432A"/>
    <w:rsid w:val="00444454"/>
    <w:rsid w:val="0044489D"/>
    <w:rsid w:val="004448E6"/>
    <w:rsid w:val="00444B8C"/>
    <w:rsid w:val="00444E7B"/>
    <w:rsid w:val="00444EE6"/>
    <w:rsid w:val="00444F1C"/>
    <w:rsid w:val="0044526B"/>
    <w:rsid w:val="004452F4"/>
    <w:rsid w:val="00445376"/>
    <w:rsid w:val="004455A7"/>
    <w:rsid w:val="004455D0"/>
    <w:rsid w:val="004455D2"/>
    <w:rsid w:val="0044561E"/>
    <w:rsid w:val="004456CF"/>
    <w:rsid w:val="00445816"/>
    <w:rsid w:val="004459E8"/>
    <w:rsid w:val="00445AA0"/>
    <w:rsid w:val="00445AA5"/>
    <w:rsid w:val="00445AA8"/>
    <w:rsid w:val="00445ACB"/>
    <w:rsid w:val="00445AFD"/>
    <w:rsid w:val="00445B18"/>
    <w:rsid w:val="00445E48"/>
    <w:rsid w:val="00445E55"/>
    <w:rsid w:val="00445EEE"/>
    <w:rsid w:val="00446083"/>
    <w:rsid w:val="004460D0"/>
    <w:rsid w:val="0044622A"/>
    <w:rsid w:val="00446428"/>
    <w:rsid w:val="00446502"/>
    <w:rsid w:val="00446635"/>
    <w:rsid w:val="004466DB"/>
    <w:rsid w:val="004467A7"/>
    <w:rsid w:val="00446AE3"/>
    <w:rsid w:val="00446D69"/>
    <w:rsid w:val="00446D99"/>
    <w:rsid w:val="00446DD7"/>
    <w:rsid w:val="00446F93"/>
    <w:rsid w:val="00446F9D"/>
    <w:rsid w:val="00447175"/>
    <w:rsid w:val="00447601"/>
    <w:rsid w:val="0044785B"/>
    <w:rsid w:val="004478F8"/>
    <w:rsid w:val="0044791A"/>
    <w:rsid w:val="00447947"/>
    <w:rsid w:val="00447B6D"/>
    <w:rsid w:val="00447CE1"/>
    <w:rsid w:val="00447DA9"/>
    <w:rsid w:val="00450033"/>
    <w:rsid w:val="00450039"/>
    <w:rsid w:val="0045015A"/>
    <w:rsid w:val="00450246"/>
    <w:rsid w:val="00450464"/>
    <w:rsid w:val="004504C1"/>
    <w:rsid w:val="004506A2"/>
    <w:rsid w:val="004508C4"/>
    <w:rsid w:val="00450983"/>
    <w:rsid w:val="004509B8"/>
    <w:rsid w:val="00450A39"/>
    <w:rsid w:val="00450AE6"/>
    <w:rsid w:val="00451108"/>
    <w:rsid w:val="004514E0"/>
    <w:rsid w:val="004515CE"/>
    <w:rsid w:val="004515D0"/>
    <w:rsid w:val="00451664"/>
    <w:rsid w:val="00451747"/>
    <w:rsid w:val="00451828"/>
    <w:rsid w:val="00451B8A"/>
    <w:rsid w:val="00451CC7"/>
    <w:rsid w:val="00451D11"/>
    <w:rsid w:val="00451DBC"/>
    <w:rsid w:val="00451E7B"/>
    <w:rsid w:val="00452057"/>
    <w:rsid w:val="0045209B"/>
    <w:rsid w:val="0045212A"/>
    <w:rsid w:val="00452258"/>
    <w:rsid w:val="004524D5"/>
    <w:rsid w:val="00452554"/>
    <w:rsid w:val="004525EE"/>
    <w:rsid w:val="004526D1"/>
    <w:rsid w:val="004526DC"/>
    <w:rsid w:val="004529E9"/>
    <w:rsid w:val="00452A65"/>
    <w:rsid w:val="00452A98"/>
    <w:rsid w:val="00452ABD"/>
    <w:rsid w:val="00452B78"/>
    <w:rsid w:val="00452BA1"/>
    <w:rsid w:val="00452BF3"/>
    <w:rsid w:val="00452D4B"/>
    <w:rsid w:val="00452DA3"/>
    <w:rsid w:val="0045309B"/>
    <w:rsid w:val="00453153"/>
    <w:rsid w:val="004531CA"/>
    <w:rsid w:val="00453421"/>
    <w:rsid w:val="0045350D"/>
    <w:rsid w:val="00453748"/>
    <w:rsid w:val="00453776"/>
    <w:rsid w:val="00453BAF"/>
    <w:rsid w:val="00453CDA"/>
    <w:rsid w:val="00453DC0"/>
    <w:rsid w:val="00453FC9"/>
    <w:rsid w:val="004541A3"/>
    <w:rsid w:val="004541BB"/>
    <w:rsid w:val="004541EC"/>
    <w:rsid w:val="0045430A"/>
    <w:rsid w:val="00454328"/>
    <w:rsid w:val="00454411"/>
    <w:rsid w:val="00454507"/>
    <w:rsid w:val="00454616"/>
    <w:rsid w:val="004547B3"/>
    <w:rsid w:val="00454907"/>
    <w:rsid w:val="00454A39"/>
    <w:rsid w:val="00454B24"/>
    <w:rsid w:val="00454C91"/>
    <w:rsid w:val="00454F60"/>
    <w:rsid w:val="004550A7"/>
    <w:rsid w:val="0045518F"/>
    <w:rsid w:val="00455281"/>
    <w:rsid w:val="004553C8"/>
    <w:rsid w:val="0045541E"/>
    <w:rsid w:val="00455498"/>
    <w:rsid w:val="00455503"/>
    <w:rsid w:val="00455659"/>
    <w:rsid w:val="00455688"/>
    <w:rsid w:val="00455749"/>
    <w:rsid w:val="0045578E"/>
    <w:rsid w:val="00455914"/>
    <w:rsid w:val="00455C2B"/>
    <w:rsid w:val="00455C38"/>
    <w:rsid w:val="00455C4B"/>
    <w:rsid w:val="00455C4C"/>
    <w:rsid w:val="00455C7B"/>
    <w:rsid w:val="00455EE3"/>
    <w:rsid w:val="00456049"/>
    <w:rsid w:val="004565BF"/>
    <w:rsid w:val="00456618"/>
    <w:rsid w:val="00456B0E"/>
    <w:rsid w:val="00456C75"/>
    <w:rsid w:val="004573D0"/>
    <w:rsid w:val="004576FA"/>
    <w:rsid w:val="00457AD6"/>
    <w:rsid w:val="00457DF2"/>
    <w:rsid w:val="00457F7F"/>
    <w:rsid w:val="004605AC"/>
    <w:rsid w:val="004605B5"/>
    <w:rsid w:val="004605E9"/>
    <w:rsid w:val="00460956"/>
    <w:rsid w:val="00460B37"/>
    <w:rsid w:val="00460B90"/>
    <w:rsid w:val="00460BCB"/>
    <w:rsid w:val="00460D40"/>
    <w:rsid w:val="00460FB0"/>
    <w:rsid w:val="0046100B"/>
    <w:rsid w:val="004610B5"/>
    <w:rsid w:val="004611DB"/>
    <w:rsid w:val="00461578"/>
    <w:rsid w:val="00461629"/>
    <w:rsid w:val="0046165B"/>
    <w:rsid w:val="004616B0"/>
    <w:rsid w:val="004616F4"/>
    <w:rsid w:val="00461BA0"/>
    <w:rsid w:val="00461BBF"/>
    <w:rsid w:val="00461E90"/>
    <w:rsid w:val="00462101"/>
    <w:rsid w:val="0046223D"/>
    <w:rsid w:val="004622FD"/>
    <w:rsid w:val="004623A9"/>
    <w:rsid w:val="00462479"/>
    <w:rsid w:val="004625A3"/>
    <w:rsid w:val="00462898"/>
    <w:rsid w:val="004628A0"/>
    <w:rsid w:val="00462D5E"/>
    <w:rsid w:val="0046306D"/>
    <w:rsid w:val="004633A4"/>
    <w:rsid w:val="004633D9"/>
    <w:rsid w:val="00463951"/>
    <w:rsid w:val="00463AEB"/>
    <w:rsid w:val="00463D5F"/>
    <w:rsid w:val="004640E7"/>
    <w:rsid w:val="00464121"/>
    <w:rsid w:val="004642D9"/>
    <w:rsid w:val="00464301"/>
    <w:rsid w:val="004643AC"/>
    <w:rsid w:val="00464686"/>
    <w:rsid w:val="00464ADB"/>
    <w:rsid w:val="00464D56"/>
    <w:rsid w:val="00464D71"/>
    <w:rsid w:val="00464D80"/>
    <w:rsid w:val="00464E85"/>
    <w:rsid w:val="00464F5B"/>
    <w:rsid w:val="004650D5"/>
    <w:rsid w:val="00465A8B"/>
    <w:rsid w:val="00465C57"/>
    <w:rsid w:val="00465D40"/>
    <w:rsid w:val="00465D73"/>
    <w:rsid w:val="00465F25"/>
    <w:rsid w:val="00465F3C"/>
    <w:rsid w:val="00466116"/>
    <w:rsid w:val="00466193"/>
    <w:rsid w:val="0046627E"/>
    <w:rsid w:val="00466324"/>
    <w:rsid w:val="0046642D"/>
    <w:rsid w:val="004664BB"/>
    <w:rsid w:val="004667D0"/>
    <w:rsid w:val="0046696F"/>
    <w:rsid w:val="00466B55"/>
    <w:rsid w:val="00466B6D"/>
    <w:rsid w:val="00466C0A"/>
    <w:rsid w:val="00466C66"/>
    <w:rsid w:val="00466E9F"/>
    <w:rsid w:val="00466F11"/>
    <w:rsid w:val="00466F1D"/>
    <w:rsid w:val="00467119"/>
    <w:rsid w:val="004671AC"/>
    <w:rsid w:val="0046723C"/>
    <w:rsid w:val="00467546"/>
    <w:rsid w:val="004679D8"/>
    <w:rsid w:val="00467A2F"/>
    <w:rsid w:val="00467ACE"/>
    <w:rsid w:val="0047066B"/>
    <w:rsid w:val="00470749"/>
    <w:rsid w:val="0047077B"/>
    <w:rsid w:val="00470913"/>
    <w:rsid w:val="00470954"/>
    <w:rsid w:val="004709D7"/>
    <w:rsid w:val="00470B3C"/>
    <w:rsid w:val="00470BB1"/>
    <w:rsid w:val="00470C32"/>
    <w:rsid w:val="00470CE7"/>
    <w:rsid w:val="00470D9A"/>
    <w:rsid w:val="00470EDD"/>
    <w:rsid w:val="00470F06"/>
    <w:rsid w:val="00470FE8"/>
    <w:rsid w:val="004715BD"/>
    <w:rsid w:val="00471A13"/>
    <w:rsid w:val="00471B50"/>
    <w:rsid w:val="00471B97"/>
    <w:rsid w:val="00471FC4"/>
    <w:rsid w:val="0047206A"/>
    <w:rsid w:val="004721D1"/>
    <w:rsid w:val="004724CB"/>
    <w:rsid w:val="0047256C"/>
    <w:rsid w:val="004726D7"/>
    <w:rsid w:val="00472B81"/>
    <w:rsid w:val="00472D60"/>
    <w:rsid w:val="00472E0D"/>
    <w:rsid w:val="00472F39"/>
    <w:rsid w:val="0047300E"/>
    <w:rsid w:val="004731B3"/>
    <w:rsid w:val="0047320D"/>
    <w:rsid w:val="004732AD"/>
    <w:rsid w:val="0047337D"/>
    <w:rsid w:val="00473435"/>
    <w:rsid w:val="004735CF"/>
    <w:rsid w:val="00473731"/>
    <w:rsid w:val="00473A3C"/>
    <w:rsid w:val="00473AB6"/>
    <w:rsid w:val="00473BF0"/>
    <w:rsid w:val="00473C4D"/>
    <w:rsid w:val="00473DF4"/>
    <w:rsid w:val="00474296"/>
    <w:rsid w:val="004742F9"/>
    <w:rsid w:val="00474474"/>
    <w:rsid w:val="0047459F"/>
    <w:rsid w:val="00474770"/>
    <w:rsid w:val="00474B47"/>
    <w:rsid w:val="00474D49"/>
    <w:rsid w:val="00474F40"/>
    <w:rsid w:val="00474F67"/>
    <w:rsid w:val="00475002"/>
    <w:rsid w:val="00475038"/>
    <w:rsid w:val="004750C2"/>
    <w:rsid w:val="0047524F"/>
    <w:rsid w:val="0047541C"/>
    <w:rsid w:val="00475585"/>
    <w:rsid w:val="004758A3"/>
    <w:rsid w:val="00475949"/>
    <w:rsid w:val="00475992"/>
    <w:rsid w:val="004759B4"/>
    <w:rsid w:val="00475B95"/>
    <w:rsid w:val="00475BA6"/>
    <w:rsid w:val="00475F3E"/>
    <w:rsid w:val="00475FF5"/>
    <w:rsid w:val="00476677"/>
    <w:rsid w:val="00476CDB"/>
    <w:rsid w:val="00476E58"/>
    <w:rsid w:val="004770F9"/>
    <w:rsid w:val="0047723D"/>
    <w:rsid w:val="0047738B"/>
    <w:rsid w:val="004773C7"/>
    <w:rsid w:val="004774A5"/>
    <w:rsid w:val="00477599"/>
    <w:rsid w:val="004776D4"/>
    <w:rsid w:val="004776E0"/>
    <w:rsid w:val="004776E2"/>
    <w:rsid w:val="00477788"/>
    <w:rsid w:val="00477803"/>
    <w:rsid w:val="00477821"/>
    <w:rsid w:val="004779F8"/>
    <w:rsid w:val="00477A3C"/>
    <w:rsid w:val="00477B3B"/>
    <w:rsid w:val="00477EA8"/>
    <w:rsid w:val="00480069"/>
    <w:rsid w:val="004800C2"/>
    <w:rsid w:val="004802A5"/>
    <w:rsid w:val="004802EF"/>
    <w:rsid w:val="00480332"/>
    <w:rsid w:val="0048050A"/>
    <w:rsid w:val="00480537"/>
    <w:rsid w:val="0048067A"/>
    <w:rsid w:val="004806FA"/>
    <w:rsid w:val="0048071F"/>
    <w:rsid w:val="004807A9"/>
    <w:rsid w:val="004811CC"/>
    <w:rsid w:val="004811E1"/>
    <w:rsid w:val="004812B7"/>
    <w:rsid w:val="0048150F"/>
    <w:rsid w:val="0048152B"/>
    <w:rsid w:val="0048163F"/>
    <w:rsid w:val="00481666"/>
    <w:rsid w:val="004817B7"/>
    <w:rsid w:val="00481898"/>
    <w:rsid w:val="00481CFF"/>
    <w:rsid w:val="00481D61"/>
    <w:rsid w:val="00481E26"/>
    <w:rsid w:val="00481F23"/>
    <w:rsid w:val="00481F48"/>
    <w:rsid w:val="00482079"/>
    <w:rsid w:val="00482133"/>
    <w:rsid w:val="00482868"/>
    <w:rsid w:val="00482AE1"/>
    <w:rsid w:val="00482D7F"/>
    <w:rsid w:val="004832CE"/>
    <w:rsid w:val="0048357D"/>
    <w:rsid w:val="00483A8C"/>
    <w:rsid w:val="00483B74"/>
    <w:rsid w:val="00483C7B"/>
    <w:rsid w:val="00483E20"/>
    <w:rsid w:val="00484048"/>
    <w:rsid w:val="0048409A"/>
    <w:rsid w:val="004840CD"/>
    <w:rsid w:val="0048423C"/>
    <w:rsid w:val="00484567"/>
    <w:rsid w:val="00484658"/>
    <w:rsid w:val="00484872"/>
    <w:rsid w:val="004848F7"/>
    <w:rsid w:val="004849CF"/>
    <w:rsid w:val="00484A85"/>
    <w:rsid w:val="00484AA4"/>
    <w:rsid w:val="00484B38"/>
    <w:rsid w:val="00484E5A"/>
    <w:rsid w:val="00484ED1"/>
    <w:rsid w:val="004850E9"/>
    <w:rsid w:val="00485160"/>
    <w:rsid w:val="00485212"/>
    <w:rsid w:val="00485339"/>
    <w:rsid w:val="004853EC"/>
    <w:rsid w:val="00485425"/>
    <w:rsid w:val="00485457"/>
    <w:rsid w:val="00485657"/>
    <w:rsid w:val="0048567F"/>
    <w:rsid w:val="004856ED"/>
    <w:rsid w:val="00485966"/>
    <w:rsid w:val="00485987"/>
    <w:rsid w:val="00485D11"/>
    <w:rsid w:val="00485D7A"/>
    <w:rsid w:val="00485E0E"/>
    <w:rsid w:val="0048616D"/>
    <w:rsid w:val="004864A2"/>
    <w:rsid w:val="0048664E"/>
    <w:rsid w:val="004866D3"/>
    <w:rsid w:val="004867D1"/>
    <w:rsid w:val="00486C1B"/>
    <w:rsid w:val="00486CDF"/>
    <w:rsid w:val="00486D30"/>
    <w:rsid w:val="00486E0B"/>
    <w:rsid w:val="00486F02"/>
    <w:rsid w:val="0048718D"/>
    <w:rsid w:val="00487277"/>
    <w:rsid w:val="004876C1"/>
    <w:rsid w:val="00487977"/>
    <w:rsid w:val="00487A02"/>
    <w:rsid w:val="00487B89"/>
    <w:rsid w:val="00487C98"/>
    <w:rsid w:val="00487E01"/>
    <w:rsid w:val="00487F12"/>
    <w:rsid w:val="00487FE6"/>
    <w:rsid w:val="004900DA"/>
    <w:rsid w:val="00490610"/>
    <w:rsid w:val="00490A18"/>
    <w:rsid w:val="00490ACC"/>
    <w:rsid w:val="00490AE1"/>
    <w:rsid w:val="00490C73"/>
    <w:rsid w:val="00490EE8"/>
    <w:rsid w:val="00490F6B"/>
    <w:rsid w:val="00491563"/>
    <w:rsid w:val="00491735"/>
    <w:rsid w:val="00491745"/>
    <w:rsid w:val="004917B1"/>
    <w:rsid w:val="004918D4"/>
    <w:rsid w:val="00491906"/>
    <w:rsid w:val="00491A51"/>
    <w:rsid w:val="00491C3B"/>
    <w:rsid w:val="00491D98"/>
    <w:rsid w:val="00491E02"/>
    <w:rsid w:val="0049201E"/>
    <w:rsid w:val="00492094"/>
    <w:rsid w:val="00492336"/>
    <w:rsid w:val="004923D7"/>
    <w:rsid w:val="00492710"/>
    <w:rsid w:val="004928DA"/>
    <w:rsid w:val="004928E9"/>
    <w:rsid w:val="00492989"/>
    <w:rsid w:val="004929CF"/>
    <w:rsid w:val="004929FA"/>
    <w:rsid w:val="00492BA7"/>
    <w:rsid w:val="00492D72"/>
    <w:rsid w:val="00493061"/>
    <w:rsid w:val="00493576"/>
    <w:rsid w:val="00493685"/>
    <w:rsid w:val="0049396A"/>
    <w:rsid w:val="004939AE"/>
    <w:rsid w:val="00493B8B"/>
    <w:rsid w:val="00493BBE"/>
    <w:rsid w:val="00493C38"/>
    <w:rsid w:val="00493D85"/>
    <w:rsid w:val="00493DF1"/>
    <w:rsid w:val="00494173"/>
    <w:rsid w:val="004941EB"/>
    <w:rsid w:val="0049420C"/>
    <w:rsid w:val="00494267"/>
    <w:rsid w:val="00494448"/>
    <w:rsid w:val="004944BF"/>
    <w:rsid w:val="004944C8"/>
    <w:rsid w:val="00494595"/>
    <w:rsid w:val="00494632"/>
    <w:rsid w:val="0049465B"/>
    <w:rsid w:val="0049478F"/>
    <w:rsid w:val="00494A04"/>
    <w:rsid w:val="00495058"/>
    <w:rsid w:val="0049506A"/>
    <w:rsid w:val="00495096"/>
    <w:rsid w:val="00495429"/>
    <w:rsid w:val="00495496"/>
    <w:rsid w:val="004957F0"/>
    <w:rsid w:val="00495A21"/>
    <w:rsid w:val="00495A9B"/>
    <w:rsid w:val="00495CF3"/>
    <w:rsid w:val="00495FAB"/>
    <w:rsid w:val="0049602F"/>
    <w:rsid w:val="0049616C"/>
    <w:rsid w:val="004967E9"/>
    <w:rsid w:val="00496931"/>
    <w:rsid w:val="0049699A"/>
    <w:rsid w:val="00496AC5"/>
    <w:rsid w:val="00496C1F"/>
    <w:rsid w:val="00496CA6"/>
    <w:rsid w:val="00496D7C"/>
    <w:rsid w:val="00496F4C"/>
    <w:rsid w:val="00496FED"/>
    <w:rsid w:val="00496FF2"/>
    <w:rsid w:val="00497336"/>
    <w:rsid w:val="004974EB"/>
    <w:rsid w:val="004975DB"/>
    <w:rsid w:val="004975FA"/>
    <w:rsid w:val="004976EB"/>
    <w:rsid w:val="00497928"/>
    <w:rsid w:val="004979B3"/>
    <w:rsid w:val="00497D90"/>
    <w:rsid w:val="00497D91"/>
    <w:rsid w:val="004A006F"/>
    <w:rsid w:val="004A01F5"/>
    <w:rsid w:val="004A0212"/>
    <w:rsid w:val="004A03DC"/>
    <w:rsid w:val="004A0421"/>
    <w:rsid w:val="004A07D0"/>
    <w:rsid w:val="004A0905"/>
    <w:rsid w:val="004A0CED"/>
    <w:rsid w:val="004A0D5E"/>
    <w:rsid w:val="004A0E64"/>
    <w:rsid w:val="004A0F99"/>
    <w:rsid w:val="004A144C"/>
    <w:rsid w:val="004A1470"/>
    <w:rsid w:val="004A14FC"/>
    <w:rsid w:val="004A1609"/>
    <w:rsid w:val="004A1717"/>
    <w:rsid w:val="004A1BD7"/>
    <w:rsid w:val="004A1E7E"/>
    <w:rsid w:val="004A1F89"/>
    <w:rsid w:val="004A2051"/>
    <w:rsid w:val="004A20A6"/>
    <w:rsid w:val="004A20FC"/>
    <w:rsid w:val="004A22E2"/>
    <w:rsid w:val="004A24B4"/>
    <w:rsid w:val="004A259C"/>
    <w:rsid w:val="004A25B1"/>
    <w:rsid w:val="004A2757"/>
    <w:rsid w:val="004A2A5B"/>
    <w:rsid w:val="004A2A77"/>
    <w:rsid w:val="004A2AFB"/>
    <w:rsid w:val="004A2B08"/>
    <w:rsid w:val="004A2BE1"/>
    <w:rsid w:val="004A2C61"/>
    <w:rsid w:val="004A2D16"/>
    <w:rsid w:val="004A2F2D"/>
    <w:rsid w:val="004A32AB"/>
    <w:rsid w:val="004A349C"/>
    <w:rsid w:val="004A34FA"/>
    <w:rsid w:val="004A38A8"/>
    <w:rsid w:val="004A38EB"/>
    <w:rsid w:val="004A3900"/>
    <w:rsid w:val="004A392E"/>
    <w:rsid w:val="004A3960"/>
    <w:rsid w:val="004A39CD"/>
    <w:rsid w:val="004A3A1A"/>
    <w:rsid w:val="004A3C8D"/>
    <w:rsid w:val="004A3C8E"/>
    <w:rsid w:val="004A3D67"/>
    <w:rsid w:val="004A42FB"/>
    <w:rsid w:val="004A443E"/>
    <w:rsid w:val="004A4879"/>
    <w:rsid w:val="004A4BA8"/>
    <w:rsid w:val="004A4BD8"/>
    <w:rsid w:val="004A4E88"/>
    <w:rsid w:val="004A51C0"/>
    <w:rsid w:val="004A51E4"/>
    <w:rsid w:val="004A525E"/>
    <w:rsid w:val="004A5302"/>
    <w:rsid w:val="004A53CF"/>
    <w:rsid w:val="004A5438"/>
    <w:rsid w:val="004A56D8"/>
    <w:rsid w:val="004A57D7"/>
    <w:rsid w:val="004A5936"/>
    <w:rsid w:val="004A59CE"/>
    <w:rsid w:val="004A5B41"/>
    <w:rsid w:val="004A5B6D"/>
    <w:rsid w:val="004A5D64"/>
    <w:rsid w:val="004A5DDF"/>
    <w:rsid w:val="004A5DEA"/>
    <w:rsid w:val="004A6003"/>
    <w:rsid w:val="004A6153"/>
    <w:rsid w:val="004A6382"/>
    <w:rsid w:val="004A6391"/>
    <w:rsid w:val="004A6441"/>
    <w:rsid w:val="004A646D"/>
    <w:rsid w:val="004A681B"/>
    <w:rsid w:val="004A7084"/>
    <w:rsid w:val="004A7156"/>
    <w:rsid w:val="004A71BE"/>
    <w:rsid w:val="004A7368"/>
    <w:rsid w:val="004A73D7"/>
    <w:rsid w:val="004A76C8"/>
    <w:rsid w:val="004A76DE"/>
    <w:rsid w:val="004A786D"/>
    <w:rsid w:val="004A78C1"/>
    <w:rsid w:val="004A7A79"/>
    <w:rsid w:val="004A7B67"/>
    <w:rsid w:val="004A7E32"/>
    <w:rsid w:val="004A7E76"/>
    <w:rsid w:val="004A7E99"/>
    <w:rsid w:val="004B02CE"/>
    <w:rsid w:val="004B04C9"/>
    <w:rsid w:val="004B0828"/>
    <w:rsid w:val="004B084E"/>
    <w:rsid w:val="004B0978"/>
    <w:rsid w:val="004B098F"/>
    <w:rsid w:val="004B0BF2"/>
    <w:rsid w:val="004B0C52"/>
    <w:rsid w:val="004B0E9D"/>
    <w:rsid w:val="004B122C"/>
    <w:rsid w:val="004B12A8"/>
    <w:rsid w:val="004B17D5"/>
    <w:rsid w:val="004B181E"/>
    <w:rsid w:val="004B1875"/>
    <w:rsid w:val="004B1C2F"/>
    <w:rsid w:val="004B1E4E"/>
    <w:rsid w:val="004B1E94"/>
    <w:rsid w:val="004B1EA3"/>
    <w:rsid w:val="004B2061"/>
    <w:rsid w:val="004B2116"/>
    <w:rsid w:val="004B236A"/>
    <w:rsid w:val="004B2378"/>
    <w:rsid w:val="004B241E"/>
    <w:rsid w:val="004B290D"/>
    <w:rsid w:val="004B296C"/>
    <w:rsid w:val="004B2991"/>
    <w:rsid w:val="004B2CB7"/>
    <w:rsid w:val="004B2D49"/>
    <w:rsid w:val="004B301A"/>
    <w:rsid w:val="004B30A5"/>
    <w:rsid w:val="004B332F"/>
    <w:rsid w:val="004B335F"/>
    <w:rsid w:val="004B34E5"/>
    <w:rsid w:val="004B36EC"/>
    <w:rsid w:val="004B39B4"/>
    <w:rsid w:val="004B3A48"/>
    <w:rsid w:val="004B3B64"/>
    <w:rsid w:val="004B3D27"/>
    <w:rsid w:val="004B3E3B"/>
    <w:rsid w:val="004B3E6D"/>
    <w:rsid w:val="004B4057"/>
    <w:rsid w:val="004B4079"/>
    <w:rsid w:val="004B4132"/>
    <w:rsid w:val="004B4163"/>
    <w:rsid w:val="004B4553"/>
    <w:rsid w:val="004B460F"/>
    <w:rsid w:val="004B461E"/>
    <w:rsid w:val="004B47B3"/>
    <w:rsid w:val="004B48C4"/>
    <w:rsid w:val="004B48F7"/>
    <w:rsid w:val="004B4995"/>
    <w:rsid w:val="004B4A34"/>
    <w:rsid w:val="004B4ABB"/>
    <w:rsid w:val="004B4BC0"/>
    <w:rsid w:val="004B4BD5"/>
    <w:rsid w:val="004B4FF7"/>
    <w:rsid w:val="004B5192"/>
    <w:rsid w:val="004B5220"/>
    <w:rsid w:val="004B53EE"/>
    <w:rsid w:val="004B54C4"/>
    <w:rsid w:val="004B55DE"/>
    <w:rsid w:val="004B5652"/>
    <w:rsid w:val="004B5A84"/>
    <w:rsid w:val="004B5B07"/>
    <w:rsid w:val="004B5BF6"/>
    <w:rsid w:val="004B5CF9"/>
    <w:rsid w:val="004B5D95"/>
    <w:rsid w:val="004B5E4A"/>
    <w:rsid w:val="004B605D"/>
    <w:rsid w:val="004B614C"/>
    <w:rsid w:val="004B616C"/>
    <w:rsid w:val="004B61E4"/>
    <w:rsid w:val="004B61F1"/>
    <w:rsid w:val="004B627D"/>
    <w:rsid w:val="004B631D"/>
    <w:rsid w:val="004B63D9"/>
    <w:rsid w:val="004B6606"/>
    <w:rsid w:val="004B6666"/>
    <w:rsid w:val="004B66EB"/>
    <w:rsid w:val="004B68AE"/>
    <w:rsid w:val="004B69D1"/>
    <w:rsid w:val="004B6A1D"/>
    <w:rsid w:val="004B6B7B"/>
    <w:rsid w:val="004B6BB9"/>
    <w:rsid w:val="004B7064"/>
    <w:rsid w:val="004B70C2"/>
    <w:rsid w:val="004B710C"/>
    <w:rsid w:val="004B72E3"/>
    <w:rsid w:val="004B73F4"/>
    <w:rsid w:val="004B75CF"/>
    <w:rsid w:val="004B77DA"/>
    <w:rsid w:val="004B7A7C"/>
    <w:rsid w:val="004B7C5B"/>
    <w:rsid w:val="004C000A"/>
    <w:rsid w:val="004C0846"/>
    <w:rsid w:val="004C08DA"/>
    <w:rsid w:val="004C08F3"/>
    <w:rsid w:val="004C0A34"/>
    <w:rsid w:val="004C0AE9"/>
    <w:rsid w:val="004C0D14"/>
    <w:rsid w:val="004C0D88"/>
    <w:rsid w:val="004C0E88"/>
    <w:rsid w:val="004C102F"/>
    <w:rsid w:val="004C1090"/>
    <w:rsid w:val="004C12DB"/>
    <w:rsid w:val="004C133C"/>
    <w:rsid w:val="004C1694"/>
    <w:rsid w:val="004C1832"/>
    <w:rsid w:val="004C1898"/>
    <w:rsid w:val="004C1922"/>
    <w:rsid w:val="004C1958"/>
    <w:rsid w:val="004C1AC3"/>
    <w:rsid w:val="004C1C13"/>
    <w:rsid w:val="004C1C5C"/>
    <w:rsid w:val="004C1C9F"/>
    <w:rsid w:val="004C1CC7"/>
    <w:rsid w:val="004C1EC6"/>
    <w:rsid w:val="004C1F78"/>
    <w:rsid w:val="004C216E"/>
    <w:rsid w:val="004C24CF"/>
    <w:rsid w:val="004C2681"/>
    <w:rsid w:val="004C2691"/>
    <w:rsid w:val="004C2AD2"/>
    <w:rsid w:val="004C2D40"/>
    <w:rsid w:val="004C2DBD"/>
    <w:rsid w:val="004C324D"/>
    <w:rsid w:val="004C3270"/>
    <w:rsid w:val="004C3280"/>
    <w:rsid w:val="004C3467"/>
    <w:rsid w:val="004C3858"/>
    <w:rsid w:val="004C3968"/>
    <w:rsid w:val="004C3976"/>
    <w:rsid w:val="004C3999"/>
    <w:rsid w:val="004C3B1A"/>
    <w:rsid w:val="004C3C97"/>
    <w:rsid w:val="004C3EC5"/>
    <w:rsid w:val="004C3FD4"/>
    <w:rsid w:val="004C4008"/>
    <w:rsid w:val="004C4373"/>
    <w:rsid w:val="004C4374"/>
    <w:rsid w:val="004C43AC"/>
    <w:rsid w:val="004C4434"/>
    <w:rsid w:val="004C46B5"/>
    <w:rsid w:val="004C46C3"/>
    <w:rsid w:val="004C46C6"/>
    <w:rsid w:val="004C4836"/>
    <w:rsid w:val="004C4B6B"/>
    <w:rsid w:val="004C4F02"/>
    <w:rsid w:val="004C512C"/>
    <w:rsid w:val="004C53F1"/>
    <w:rsid w:val="004C553E"/>
    <w:rsid w:val="004C5662"/>
    <w:rsid w:val="004C5976"/>
    <w:rsid w:val="004C5A26"/>
    <w:rsid w:val="004C5A6A"/>
    <w:rsid w:val="004C5A7C"/>
    <w:rsid w:val="004C5C14"/>
    <w:rsid w:val="004C5C23"/>
    <w:rsid w:val="004C5CF2"/>
    <w:rsid w:val="004C65CC"/>
    <w:rsid w:val="004C691B"/>
    <w:rsid w:val="004C6A66"/>
    <w:rsid w:val="004C6B09"/>
    <w:rsid w:val="004C6BA5"/>
    <w:rsid w:val="004C6C29"/>
    <w:rsid w:val="004C6C3A"/>
    <w:rsid w:val="004C6D12"/>
    <w:rsid w:val="004C6EAC"/>
    <w:rsid w:val="004C6F4D"/>
    <w:rsid w:val="004C7016"/>
    <w:rsid w:val="004C7105"/>
    <w:rsid w:val="004C7191"/>
    <w:rsid w:val="004C71BA"/>
    <w:rsid w:val="004C73A8"/>
    <w:rsid w:val="004C752B"/>
    <w:rsid w:val="004C762C"/>
    <w:rsid w:val="004C7702"/>
    <w:rsid w:val="004C7753"/>
    <w:rsid w:val="004C7797"/>
    <w:rsid w:val="004C77EB"/>
    <w:rsid w:val="004C782D"/>
    <w:rsid w:val="004C7994"/>
    <w:rsid w:val="004C7B08"/>
    <w:rsid w:val="004C7C4F"/>
    <w:rsid w:val="004C7CE2"/>
    <w:rsid w:val="004C7D0D"/>
    <w:rsid w:val="004C7D82"/>
    <w:rsid w:val="004C7F1C"/>
    <w:rsid w:val="004C7FD3"/>
    <w:rsid w:val="004D0069"/>
    <w:rsid w:val="004D0594"/>
    <w:rsid w:val="004D05BC"/>
    <w:rsid w:val="004D05D8"/>
    <w:rsid w:val="004D077A"/>
    <w:rsid w:val="004D090B"/>
    <w:rsid w:val="004D0A06"/>
    <w:rsid w:val="004D0BAE"/>
    <w:rsid w:val="004D0BE7"/>
    <w:rsid w:val="004D0CA9"/>
    <w:rsid w:val="004D0D61"/>
    <w:rsid w:val="004D0F12"/>
    <w:rsid w:val="004D109D"/>
    <w:rsid w:val="004D10BC"/>
    <w:rsid w:val="004D1137"/>
    <w:rsid w:val="004D1187"/>
    <w:rsid w:val="004D128E"/>
    <w:rsid w:val="004D151D"/>
    <w:rsid w:val="004D1559"/>
    <w:rsid w:val="004D15C8"/>
    <w:rsid w:val="004D16E7"/>
    <w:rsid w:val="004D1B1A"/>
    <w:rsid w:val="004D1BC1"/>
    <w:rsid w:val="004D1C93"/>
    <w:rsid w:val="004D211A"/>
    <w:rsid w:val="004D22C8"/>
    <w:rsid w:val="004D254A"/>
    <w:rsid w:val="004D258B"/>
    <w:rsid w:val="004D27E4"/>
    <w:rsid w:val="004D2823"/>
    <w:rsid w:val="004D29A8"/>
    <w:rsid w:val="004D2B71"/>
    <w:rsid w:val="004D2C84"/>
    <w:rsid w:val="004D2CD2"/>
    <w:rsid w:val="004D2E66"/>
    <w:rsid w:val="004D2ECF"/>
    <w:rsid w:val="004D31B3"/>
    <w:rsid w:val="004D3350"/>
    <w:rsid w:val="004D3821"/>
    <w:rsid w:val="004D3893"/>
    <w:rsid w:val="004D3947"/>
    <w:rsid w:val="004D3A9D"/>
    <w:rsid w:val="004D3C44"/>
    <w:rsid w:val="004D3FC8"/>
    <w:rsid w:val="004D4173"/>
    <w:rsid w:val="004D45D1"/>
    <w:rsid w:val="004D4799"/>
    <w:rsid w:val="004D4879"/>
    <w:rsid w:val="004D48A0"/>
    <w:rsid w:val="004D48CE"/>
    <w:rsid w:val="004D4917"/>
    <w:rsid w:val="004D4994"/>
    <w:rsid w:val="004D4C96"/>
    <w:rsid w:val="004D4D86"/>
    <w:rsid w:val="004D4D91"/>
    <w:rsid w:val="004D4E7C"/>
    <w:rsid w:val="004D5080"/>
    <w:rsid w:val="004D53D8"/>
    <w:rsid w:val="004D53F7"/>
    <w:rsid w:val="004D5607"/>
    <w:rsid w:val="004D56C9"/>
    <w:rsid w:val="004D582B"/>
    <w:rsid w:val="004D5863"/>
    <w:rsid w:val="004D5AE0"/>
    <w:rsid w:val="004D5B66"/>
    <w:rsid w:val="004D5CAF"/>
    <w:rsid w:val="004D61B6"/>
    <w:rsid w:val="004D6735"/>
    <w:rsid w:val="004D6937"/>
    <w:rsid w:val="004D6A1C"/>
    <w:rsid w:val="004D6A28"/>
    <w:rsid w:val="004D6ACF"/>
    <w:rsid w:val="004D6B44"/>
    <w:rsid w:val="004D6C42"/>
    <w:rsid w:val="004D6E68"/>
    <w:rsid w:val="004D70D3"/>
    <w:rsid w:val="004D7176"/>
    <w:rsid w:val="004D7271"/>
    <w:rsid w:val="004D7392"/>
    <w:rsid w:val="004D73E6"/>
    <w:rsid w:val="004D745C"/>
    <w:rsid w:val="004D76C9"/>
    <w:rsid w:val="004D76EA"/>
    <w:rsid w:val="004D7B60"/>
    <w:rsid w:val="004D7BA8"/>
    <w:rsid w:val="004D7E95"/>
    <w:rsid w:val="004D7F59"/>
    <w:rsid w:val="004E0066"/>
    <w:rsid w:val="004E00C6"/>
    <w:rsid w:val="004E046B"/>
    <w:rsid w:val="004E097D"/>
    <w:rsid w:val="004E0AAB"/>
    <w:rsid w:val="004E0B1E"/>
    <w:rsid w:val="004E0C3D"/>
    <w:rsid w:val="004E0C4E"/>
    <w:rsid w:val="004E0D67"/>
    <w:rsid w:val="004E0DC3"/>
    <w:rsid w:val="004E1009"/>
    <w:rsid w:val="004E1019"/>
    <w:rsid w:val="004E118D"/>
    <w:rsid w:val="004E11A1"/>
    <w:rsid w:val="004E149E"/>
    <w:rsid w:val="004E14E4"/>
    <w:rsid w:val="004E191A"/>
    <w:rsid w:val="004E1924"/>
    <w:rsid w:val="004E1C2F"/>
    <w:rsid w:val="004E1E28"/>
    <w:rsid w:val="004E1EF7"/>
    <w:rsid w:val="004E201C"/>
    <w:rsid w:val="004E216D"/>
    <w:rsid w:val="004E22DB"/>
    <w:rsid w:val="004E25BA"/>
    <w:rsid w:val="004E26BE"/>
    <w:rsid w:val="004E26D4"/>
    <w:rsid w:val="004E279D"/>
    <w:rsid w:val="004E2811"/>
    <w:rsid w:val="004E299C"/>
    <w:rsid w:val="004E2A34"/>
    <w:rsid w:val="004E2AE6"/>
    <w:rsid w:val="004E2C1F"/>
    <w:rsid w:val="004E2C7B"/>
    <w:rsid w:val="004E2D0D"/>
    <w:rsid w:val="004E2EE9"/>
    <w:rsid w:val="004E2F7D"/>
    <w:rsid w:val="004E30D5"/>
    <w:rsid w:val="004E32F3"/>
    <w:rsid w:val="004E3372"/>
    <w:rsid w:val="004E346A"/>
    <w:rsid w:val="004E3507"/>
    <w:rsid w:val="004E3684"/>
    <w:rsid w:val="004E3980"/>
    <w:rsid w:val="004E3B0C"/>
    <w:rsid w:val="004E3B31"/>
    <w:rsid w:val="004E3E4A"/>
    <w:rsid w:val="004E4099"/>
    <w:rsid w:val="004E437D"/>
    <w:rsid w:val="004E44B7"/>
    <w:rsid w:val="004E44CF"/>
    <w:rsid w:val="004E45D8"/>
    <w:rsid w:val="004E46E5"/>
    <w:rsid w:val="004E4726"/>
    <w:rsid w:val="004E4841"/>
    <w:rsid w:val="004E4ABA"/>
    <w:rsid w:val="004E4AF6"/>
    <w:rsid w:val="004E5334"/>
    <w:rsid w:val="004E54F1"/>
    <w:rsid w:val="004E5567"/>
    <w:rsid w:val="004E5581"/>
    <w:rsid w:val="004E55B7"/>
    <w:rsid w:val="004E563E"/>
    <w:rsid w:val="004E5ABD"/>
    <w:rsid w:val="004E5B03"/>
    <w:rsid w:val="004E5C05"/>
    <w:rsid w:val="004E5D4F"/>
    <w:rsid w:val="004E5EB0"/>
    <w:rsid w:val="004E6045"/>
    <w:rsid w:val="004E60FF"/>
    <w:rsid w:val="004E6354"/>
    <w:rsid w:val="004E654F"/>
    <w:rsid w:val="004E6658"/>
    <w:rsid w:val="004E671F"/>
    <w:rsid w:val="004E6801"/>
    <w:rsid w:val="004E69CA"/>
    <w:rsid w:val="004E6B02"/>
    <w:rsid w:val="004E6BD3"/>
    <w:rsid w:val="004E6F83"/>
    <w:rsid w:val="004E7091"/>
    <w:rsid w:val="004E7169"/>
    <w:rsid w:val="004E7445"/>
    <w:rsid w:val="004E79CC"/>
    <w:rsid w:val="004E7B4D"/>
    <w:rsid w:val="004E7C82"/>
    <w:rsid w:val="004E7ED5"/>
    <w:rsid w:val="004F0097"/>
    <w:rsid w:val="004F0168"/>
    <w:rsid w:val="004F01DE"/>
    <w:rsid w:val="004F0417"/>
    <w:rsid w:val="004F06E3"/>
    <w:rsid w:val="004F0750"/>
    <w:rsid w:val="004F07ED"/>
    <w:rsid w:val="004F08BE"/>
    <w:rsid w:val="004F0A1C"/>
    <w:rsid w:val="004F0ACE"/>
    <w:rsid w:val="004F1126"/>
    <w:rsid w:val="004F12B8"/>
    <w:rsid w:val="004F1680"/>
    <w:rsid w:val="004F17C0"/>
    <w:rsid w:val="004F1B63"/>
    <w:rsid w:val="004F1BA8"/>
    <w:rsid w:val="004F1C82"/>
    <w:rsid w:val="004F1E8E"/>
    <w:rsid w:val="004F2036"/>
    <w:rsid w:val="004F23C0"/>
    <w:rsid w:val="004F260A"/>
    <w:rsid w:val="004F26B7"/>
    <w:rsid w:val="004F2ABB"/>
    <w:rsid w:val="004F2B29"/>
    <w:rsid w:val="004F2F5F"/>
    <w:rsid w:val="004F319F"/>
    <w:rsid w:val="004F32CF"/>
    <w:rsid w:val="004F34B5"/>
    <w:rsid w:val="004F3527"/>
    <w:rsid w:val="004F36BC"/>
    <w:rsid w:val="004F37A5"/>
    <w:rsid w:val="004F3864"/>
    <w:rsid w:val="004F3C2D"/>
    <w:rsid w:val="004F3DAC"/>
    <w:rsid w:val="004F3E39"/>
    <w:rsid w:val="004F3F9E"/>
    <w:rsid w:val="004F3FDD"/>
    <w:rsid w:val="004F417E"/>
    <w:rsid w:val="004F4244"/>
    <w:rsid w:val="004F4365"/>
    <w:rsid w:val="004F4698"/>
    <w:rsid w:val="004F46D2"/>
    <w:rsid w:val="004F4A30"/>
    <w:rsid w:val="004F4A7E"/>
    <w:rsid w:val="004F4BD2"/>
    <w:rsid w:val="004F4CA7"/>
    <w:rsid w:val="004F4DF3"/>
    <w:rsid w:val="004F4EB7"/>
    <w:rsid w:val="004F500A"/>
    <w:rsid w:val="004F51FF"/>
    <w:rsid w:val="004F53C0"/>
    <w:rsid w:val="004F545A"/>
    <w:rsid w:val="004F54FC"/>
    <w:rsid w:val="004F5537"/>
    <w:rsid w:val="004F56BF"/>
    <w:rsid w:val="004F574C"/>
    <w:rsid w:val="004F57C9"/>
    <w:rsid w:val="004F59F7"/>
    <w:rsid w:val="004F5A40"/>
    <w:rsid w:val="004F5CB2"/>
    <w:rsid w:val="004F5DF0"/>
    <w:rsid w:val="004F60A5"/>
    <w:rsid w:val="004F615A"/>
    <w:rsid w:val="004F61B8"/>
    <w:rsid w:val="004F6AA0"/>
    <w:rsid w:val="004F6ED2"/>
    <w:rsid w:val="004F7004"/>
    <w:rsid w:val="004F7068"/>
    <w:rsid w:val="004F75DC"/>
    <w:rsid w:val="004F773F"/>
    <w:rsid w:val="004F77EC"/>
    <w:rsid w:val="004F7A68"/>
    <w:rsid w:val="004F7C6D"/>
    <w:rsid w:val="004F7CE7"/>
    <w:rsid w:val="004F7D0E"/>
    <w:rsid w:val="004F7EFE"/>
    <w:rsid w:val="0050003E"/>
    <w:rsid w:val="00500376"/>
    <w:rsid w:val="0050094E"/>
    <w:rsid w:val="00500A4C"/>
    <w:rsid w:val="00500B63"/>
    <w:rsid w:val="00500BB9"/>
    <w:rsid w:val="00500F9E"/>
    <w:rsid w:val="00500FA9"/>
    <w:rsid w:val="00501028"/>
    <w:rsid w:val="00501185"/>
    <w:rsid w:val="005011C5"/>
    <w:rsid w:val="005012E4"/>
    <w:rsid w:val="005013BE"/>
    <w:rsid w:val="0050151E"/>
    <w:rsid w:val="00501658"/>
    <w:rsid w:val="00501942"/>
    <w:rsid w:val="00501A42"/>
    <w:rsid w:val="00501E04"/>
    <w:rsid w:val="00501E17"/>
    <w:rsid w:val="005022D7"/>
    <w:rsid w:val="005022DB"/>
    <w:rsid w:val="00502394"/>
    <w:rsid w:val="005023F1"/>
    <w:rsid w:val="00502400"/>
    <w:rsid w:val="0050260C"/>
    <w:rsid w:val="00502666"/>
    <w:rsid w:val="00502670"/>
    <w:rsid w:val="00502679"/>
    <w:rsid w:val="00502B26"/>
    <w:rsid w:val="00502BC1"/>
    <w:rsid w:val="00502E36"/>
    <w:rsid w:val="00502F57"/>
    <w:rsid w:val="00502FA1"/>
    <w:rsid w:val="00502FED"/>
    <w:rsid w:val="005030B5"/>
    <w:rsid w:val="00503195"/>
    <w:rsid w:val="005031FF"/>
    <w:rsid w:val="00503320"/>
    <w:rsid w:val="0050381B"/>
    <w:rsid w:val="005038D1"/>
    <w:rsid w:val="00503981"/>
    <w:rsid w:val="00503B88"/>
    <w:rsid w:val="00503F61"/>
    <w:rsid w:val="005041D8"/>
    <w:rsid w:val="005042D7"/>
    <w:rsid w:val="005044F5"/>
    <w:rsid w:val="0050458B"/>
    <w:rsid w:val="00504763"/>
    <w:rsid w:val="005049B0"/>
    <w:rsid w:val="00504B74"/>
    <w:rsid w:val="00505000"/>
    <w:rsid w:val="00505389"/>
    <w:rsid w:val="0050552E"/>
    <w:rsid w:val="005056AF"/>
    <w:rsid w:val="0050570A"/>
    <w:rsid w:val="0050575B"/>
    <w:rsid w:val="00505872"/>
    <w:rsid w:val="00505C80"/>
    <w:rsid w:val="00505E27"/>
    <w:rsid w:val="00505E34"/>
    <w:rsid w:val="005060CC"/>
    <w:rsid w:val="005060D9"/>
    <w:rsid w:val="005062D8"/>
    <w:rsid w:val="0050635A"/>
    <w:rsid w:val="005063AE"/>
    <w:rsid w:val="0050650C"/>
    <w:rsid w:val="00506A47"/>
    <w:rsid w:val="00506B73"/>
    <w:rsid w:val="00506BA7"/>
    <w:rsid w:val="00506BFC"/>
    <w:rsid w:val="00506C71"/>
    <w:rsid w:val="00506C9D"/>
    <w:rsid w:val="00506D40"/>
    <w:rsid w:val="00506E1B"/>
    <w:rsid w:val="00506E47"/>
    <w:rsid w:val="00506EC2"/>
    <w:rsid w:val="00506ED3"/>
    <w:rsid w:val="00506FAD"/>
    <w:rsid w:val="005075AB"/>
    <w:rsid w:val="005075DF"/>
    <w:rsid w:val="0050781B"/>
    <w:rsid w:val="00507873"/>
    <w:rsid w:val="00507955"/>
    <w:rsid w:val="00507E4B"/>
    <w:rsid w:val="0051002B"/>
    <w:rsid w:val="005100E0"/>
    <w:rsid w:val="005101D2"/>
    <w:rsid w:val="00510484"/>
    <w:rsid w:val="005105A2"/>
    <w:rsid w:val="005108B4"/>
    <w:rsid w:val="0051094C"/>
    <w:rsid w:val="00510CA5"/>
    <w:rsid w:val="00510EF6"/>
    <w:rsid w:val="00511238"/>
    <w:rsid w:val="0051138F"/>
    <w:rsid w:val="0051139D"/>
    <w:rsid w:val="005116F9"/>
    <w:rsid w:val="00511720"/>
    <w:rsid w:val="0051176B"/>
    <w:rsid w:val="00511789"/>
    <w:rsid w:val="0051195A"/>
    <w:rsid w:val="00511A93"/>
    <w:rsid w:val="00511B5D"/>
    <w:rsid w:val="00511BEE"/>
    <w:rsid w:val="00511C15"/>
    <w:rsid w:val="00511FA8"/>
    <w:rsid w:val="00511FDD"/>
    <w:rsid w:val="00512275"/>
    <w:rsid w:val="0051242B"/>
    <w:rsid w:val="0051278E"/>
    <w:rsid w:val="00512A9D"/>
    <w:rsid w:val="00512AD6"/>
    <w:rsid w:val="00512C29"/>
    <w:rsid w:val="00512D0A"/>
    <w:rsid w:val="00512E43"/>
    <w:rsid w:val="00512FAD"/>
    <w:rsid w:val="00513056"/>
    <w:rsid w:val="0051310D"/>
    <w:rsid w:val="005135A5"/>
    <w:rsid w:val="005135CE"/>
    <w:rsid w:val="00513781"/>
    <w:rsid w:val="005139A4"/>
    <w:rsid w:val="00513C43"/>
    <w:rsid w:val="00513C7D"/>
    <w:rsid w:val="00513F6E"/>
    <w:rsid w:val="00513F91"/>
    <w:rsid w:val="00513FF5"/>
    <w:rsid w:val="00514008"/>
    <w:rsid w:val="0051412E"/>
    <w:rsid w:val="005143F5"/>
    <w:rsid w:val="005147CF"/>
    <w:rsid w:val="00514A16"/>
    <w:rsid w:val="00514A6D"/>
    <w:rsid w:val="00514B29"/>
    <w:rsid w:val="00514C9D"/>
    <w:rsid w:val="00514D76"/>
    <w:rsid w:val="00514F51"/>
    <w:rsid w:val="005151F1"/>
    <w:rsid w:val="00515251"/>
    <w:rsid w:val="005152C0"/>
    <w:rsid w:val="00515356"/>
    <w:rsid w:val="00515611"/>
    <w:rsid w:val="0051568A"/>
    <w:rsid w:val="0051593C"/>
    <w:rsid w:val="00515B71"/>
    <w:rsid w:val="00515CE4"/>
    <w:rsid w:val="00515DB4"/>
    <w:rsid w:val="00515E13"/>
    <w:rsid w:val="00515F9B"/>
    <w:rsid w:val="00516178"/>
    <w:rsid w:val="00516504"/>
    <w:rsid w:val="00516663"/>
    <w:rsid w:val="00516670"/>
    <w:rsid w:val="005166EC"/>
    <w:rsid w:val="005169F0"/>
    <w:rsid w:val="00516A6E"/>
    <w:rsid w:val="00516BB0"/>
    <w:rsid w:val="00516E63"/>
    <w:rsid w:val="00516EC6"/>
    <w:rsid w:val="00516F1A"/>
    <w:rsid w:val="00516FA5"/>
    <w:rsid w:val="00516FBE"/>
    <w:rsid w:val="00517101"/>
    <w:rsid w:val="005172AC"/>
    <w:rsid w:val="00517360"/>
    <w:rsid w:val="00517385"/>
    <w:rsid w:val="00517A5D"/>
    <w:rsid w:val="00517ADE"/>
    <w:rsid w:val="00517C41"/>
    <w:rsid w:val="00517C6D"/>
    <w:rsid w:val="00517E1D"/>
    <w:rsid w:val="00517E32"/>
    <w:rsid w:val="00517ED5"/>
    <w:rsid w:val="00517F5F"/>
    <w:rsid w:val="00517FC0"/>
    <w:rsid w:val="00520077"/>
    <w:rsid w:val="0052020E"/>
    <w:rsid w:val="0052023D"/>
    <w:rsid w:val="00520676"/>
    <w:rsid w:val="005206E5"/>
    <w:rsid w:val="0052077C"/>
    <w:rsid w:val="005207C6"/>
    <w:rsid w:val="00520A21"/>
    <w:rsid w:val="00520C04"/>
    <w:rsid w:val="00520C16"/>
    <w:rsid w:val="00520E5A"/>
    <w:rsid w:val="00520E9B"/>
    <w:rsid w:val="00521026"/>
    <w:rsid w:val="00521179"/>
    <w:rsid w:val="00521243"/>
    <w:rsid w:val="0052125E"/>
    <w:rsid w:val="005212AE"/>
    <w:rsid w:val="00521342"/>
    <w:rsid w:val="0052154C"/>
    <w:rsid w:val="005217BD"/>
    <w:rsid w:val="00521825"/>
    <w:rsid w:val="00521B31"/>
    <w:rsid w:val="00521C81"/>
    <w:rsid w:val="00521D98"/>
    <w:rsid w:val="00521E29"/>
    <w:rsid w:val="00521FCB"/>
    <w:rsid w:val="00522010"/>
    <w:rsid w:val="00522047"/>
    <w:rsid w:val="005220DC"/>
    <w:rsid w:val="005220F6"/>
    <w:rsid w:val="005220FA"/>
    <w:rsid w:val="005223C3"/>
    <w:rsid w:val="005226EC"/>
    <w:rsid w:val="00522B16"/>
    <w:rsid w:val="00522C64"/>
    <w:rsid w:val="00522CA7"/>
    <w:rsid w:val="00522DA4"/>
    <w:rsid w:val="00522E5F"/>
    <w:rsid w:val="00522F48"/>
    <w:rsid w:val="00522F65"/>
    <w:rsid w:val="005233F2"/>
    <w:rsid w:val="00523462"/>
    <w:rsid w:val="005234F9"/>
    <w:rsid w:val="0052356A"/>
    <w:rsid w:val="005236FA"/>
    <w:rsid w:val="00523705"/>
    <w:rsid w:val="0052378A"/>
    <w:rsid w:val="005237C6"/>
    <w:rsid w:val="0052385E"/>
    <w:rsid w:val="005238EB"/>
    <w:rsid w:val="00523A9F"/>
    <w:rsid w:val="00523D27"/>
    <w:rsid w:val="00523E10"/>
    <w:rsid w:val="00523FF6"/>
    <w:rsid w:val="005240B6"/>
    <w:rsid w:val="00524342"/>
    <w:rsid w:val="005243AC"/>
    <w:rsid w:val="005243FC"/>
    <w:rsid w:val="00524592"/>
    <w:rsid w:val="0052460F"/>
    <w:rsid w:val="00524853"/>
    <w:rsid w:val="0052494B"/>
    <w:rsid w:val="005249C4"/>
    <w:rsid w:val="00524A73"/>
    <w:rsid w:val="00524B73"/>
    <w:rsid w:val="00524B90"/>
    <w:rsid w:val="00524BA2"/>
    <w:rsid w:val="00524DDA"/>
    <w:rsid w:val="00524E20"/>
    <w:rsid w:val="00524E2D"/>
    <w:rsid w:val="00525071"/>
    <w:rsid w:val="0052511E"/>
    <w:rsid w:val="005251CB"/>
    <w:rsid w:val="0052527E"/>
    <w:rsid w:val="005254EF"/>
    <w:rsid w:val="0052558F"/>
    <w:rsid w:val="0052562D"/>
    <w:rsid w:val="00525925"/>
    <w:rsid w:val="00525AF2"/>
    <w:rsid w:val="00525AF4"/>
    <w:rsid w:val="00525BD4"/>
    <w:rsid w:val="00525C99"/>
    <w:rsid w:val="00525FB5"/>
    <w:rsid w:val="00525FFA"/>
    <w:rsid w:val="00526384"/>
    <w:rsid w:val="005264F3"/>
    <w:rsid w:val="0052657A"/>
    <w:rsid w:val="005265E7"/>
    <w:rsid w:val="005266A1"/>
    <w:rsid w:val="0052694C"/>
    <w:rsid w:val="00526A47"/>
    <w:rsid w:val="00526F3F"/>
    <w:rsid w:val="0052702B"/>
    <w:rsid w:val="005270D9"/>
    <w:rsid w:val="0052724F"/>
    <w:rsid w:val="005272E4"/>
    <w:rsid w:val="005276B4"/>
    <w:rsid w:val="00527737"/>
    <w:rsid w:val="005277CC"/>
    <w:rsid w:val="00527824"/>
    <w:rsid w:val="00527968"/>
    <w:rsid w:val="00527A36"/>
    <w:rsid w:val="00527AF9"/>
    <w:rsid w:val="0053002B"/>
    <w:rsid w:val="00530088"/>
    <w:rsid w:val="0053019B"/>
    <w:rsid w:val="005302A7"/>
    <w:rsid w:val="00530401"/>
    <w:rsid w:val="00530616"/>
    <w:rsid w:val="00530628"/>
    <w:rsid w:val="005306D7"/>
    <w:rsid w:val="00530833"/>
    <w:rsid w:val="00530C65"/>
    <w:rsid w:val="00530DDA"/>
    <w:rsid w:val="00530E93"/>
    <w:rsid w:val="00530FFA"/>
    <w:rsid w:val="005314FE"/>
    <w:rsid w:val="00531774"/>
    <w:rsid w:val="005318AC"/>
    <w:rsid w:val="00531BBE"/>
    <w:rsid w:val="00531C9A"/>
    <w:rsid w:val="00531CF1"/>
    <w:rsid w:val="00531D86"/>
    <w:rsid w:val="00531EC3"/>
    <w:rsid w:val="00531F7C"/>
    <w:rsid w:val="00532080"/>
    <w:rsid w:val="00532210"/>
    <w:rsid w:val="005322ED"/>
    <w:rsid w:val="00532370"/>
    <w:rsid w:val="00532493"/>
    <w:rsid w:val="00532858"/>
    <w:rsid w:val="005329B5"/>
    <w:rsid w:val="00532D9B"/>
    <w:rsid w:val="00532D9E"/>
    <w:rsid w:val="00532DB6"/>
    <w:rsid w:val="00532F0C"/>
    <w:rsid w:val="005331B0"/>
    <w:rsid w:val="005331C8"/>
    <w:rsid w:val="00533500"/>
    <w:rsid w:val="00533679"/>
    <w:rsid w:val="005336C8"/>
    <w:rsid w:val="0053370C"/>
    <w:rsid w:val="0053431D"/>
    <w:rsid w:val="0053443B"/>
    <w:rsid w:val="005344C7"/>
    <w:rsid w:val="00534708"/>
    <w:rsid w:val="005347B2"/>
    <w:rsid w:val="00534874"/>
    <w:rsid w:val="00534A63"/>
    <w:rsid w:val="00534AFD"/>
    <w:rsid w:val="00534D49"/>
    <w:rsid w:val="00534D5D"/>
    <w:rsid w:val="00534DC8"/>
    <w:rsid w:val="00534E39"/>
    <w:rsid w:val="005350A2"/>
    <w:rsid w:val="005350A7"/>
    <w:rsid w:val="005352AD"/>
    <w:rsid w:val="005353EC"/>
    <w:rsid w:val="00535491"/>
    <w:rsid w:val="005356EE"/>
    <w:rsid w:val="00535F28"/>
    <w:rsid w:val="0053610E"/>
    <w:rsid w:val="00536122"/>
    <w:rsid w:val="00536428"/>
    <w:rsid w:val="005366F4"/>
    <w:rsid w:val="005369EF"/>
    <w:rsid w:val="00536B31"/>
    <w:rsid w:val="00536BA2"/>
    <w:rsid w:val="00536EFA"/>
    <w:rsid w:val="00536F34"/>
    <w:rsid w:val="0053727D"/>
    <w:rsid w:val="00537415"/>
    <w:rsid w:val="00537A0A"/>
    <w:rsid w:val="00537EE2"/>
    <w:rsid w:val="00537FD4"/>
    <w:rsid w:val="0054030C"/>
    <w:rsid w:val="005403B7"/>
    <w:rsid w:val="005404D2"/>
    <w:rsid w:val="0054056F"/>
    <w:rsid w:val="005407E5"/>
    <w:rsid w:val="005408AD"/>
    <w:rsid w:val="00540A30"/>
    <w:rsid w:val="00540B74"/>
    <w:rsid w:val="0054130D"/>
    <w:rsid w:val="005416BD"/>
    <w:rsid w:val="005417EE"/>
    <w:rsid w:val="005418E6"/>
    <w:rsid w:val="0054196C"/>
    <w:rsid w:val="00541A55"/>
    <w:rsid w:val="00541C06"/>
    <w:rsid w:val="00541D06"/>
    <w:rsid w:val="005420EA"/>
    <w:rsid w:val="00542568"/>
    <w:rsid w:val="00542598"/>
    <w:rsid w:val="0054290A"/>
    <w:rsid w:val="00542AF1"/>
    <w:rsid w:val="00542C48"/>
    <w:rsid w:val="00542C95"/>
    <w:rsid w:val="00542C9D"/>
    <w:rsid w:val="00542E91"/>
    <w:rsid w:val="005430C1"/>
    <w:rsid w:val="005431AC"/>
    <w:rsid w:val="0054347E"/>
    <w:rsid w:val="00543550"/>
    <w:rsid w:val="00543554"/>
    <w:rsid w:val="0054393B"/>
    <w:rsid w:val="00543D3E"/>
    <w:rsid w:val="00543FDA"/>
    <w:rsid w:val="005443AD"/>
    <w:rsid w:val="005443CA"/>
    <w:rsid w:val="00544769"/>
    <w:rsid w:val="005448B5"/>
    <w:rsid w:val="00544ACA"/>
    <w:rsid w:val="00544B24"/>
    <w:rsid w:val="00544B36"/>
    <w:rsid w:val="00544C1F"/>
    <w:rsid w:val="00544C79"/>
    <w:rsid w:val="00544D22"/>
    <w:rsid w:val="00544E15"/>
    <w:rsid w:val="00544FC6"/>
    <w:rsid w:val="00545294"/>
    <w:rsid w:val="005452BA"/>
    <w:rsid w:val="005452CC"/>
    <w:rsid w:val="0054551F"/>
    <w:rsid w:val="00545541"/>
    <w:rsid w:val="00545578"/>
    <w:rsid w:val="00545698"/>
    <w:rsid w:val="00545870"/>
    <w:rsid w:val="00545C62"/>
    <w:rsid w:val="00545C7B"/>
    <w:rsid w:val="00545E8B"/>
    <w:rsid w:val="00545EA7"/>
    <w:rsid w:val="00546054"/>
    <w:rsid w:val="0054605D"/>
    <w:rsid w:val="005464BF"/>
    <w:rsid w:val="00546523"/>
    <w:rsid w:val="005469CB"/>
    <w:rsid w:val="00546A5F"/>
    <w:rsid w:val="00546B33"/>
    <w:rsid w:val="00546CFD"/>
    <w:rsid w:val="00546D15"/>
    <w:rsid w:val="00546EE0"/>
    <w:rsid w:val="0054714D"/>
    <w:rsid w:val="0054739D"/>
    <w:rsid w:val="00547429"/>
    <w:rsid w:val="0054750A"/>
    <w:rsid w:val="005475A1"/>
    <w:rsid w:val="00547655"/>
    <w:rsid w:val="005476E2"/>
    <w:rsid w:val="00547985"/>
    <w:rsid w:val="00547CB2"/>
    <w:rsid w:val="00547DDD"/>
    <w:rsid w:val="00547DEC"/>
    <w:rsid w:val="00547E29"/>
    <w:rsid w:val="00547E34"/>
    <w:rsid w:val="00547E5C"/>
    <w:rsid w:val="00547EEB"/>
    <w:rsid w:val="00547F5D"/>
    <w:rsid w:val="00550012"/>
    <w:rsid w:val="00550200"/>
    <w:rsid w:val="0055025A"/>
    <w:rsid w:val="005502F1"/>
    <w:rsid w:val="0055043A"/>
    <w:rsid w:val="00550501"/>
    <w:rsid w:val="0055068C"/>
    <w:rsid w:val="00550726"/>
    <w:rsid w:val="005507A1"/>
    <w:rsid w:val="005508F2"/>
    <w:rsid w:val="00550908"/>
    <w:rsid w:val="0055090C"/>
    <w:rsid w:val="00550A11"/>
    <w:rsid w:val="00550A81"/>
    <w:rsid w:val="00550F01"/>
    <w:rsid w:val="005510E5"/>
    <w:rsid w:val="00551139"/>
    <w:rsid w:val="0055118A"/>
    <w:rsid w:val="00551261"/>
    <w:rsid w:val="00551327"/>
    <w:rsid w:val="005519B1"/>
    <w:rsid w:val="00551C03"/>
    <w:rsid w:val="00551D26"/>
    <w:rsid w:val="00551D44"/>
    <w:rsid w:val="00551E8A"/>
    <w:rsid w:val="00551FBA"/>
    <w:rsid w:val="00552009"/>
    <w:rsid w:val="00552177"/>
    <w:rsid w:val="005525BB"/>
    <w:rsid w:val="00552854"/>
    <w:rsid w:val="00552939"/>
    <w:rsid w:val="00552B61"/>
    <w:rsid w:val="00552CB8"/>
    <w:rsid w:val="00552DA6"/>
    <w:rsid w:val="00552F09"/>
    <w:rsid w:val="00553067"/>
    <w:rsid w:val="0055344B"/>
    <w:rsid w:val="0055360F"/>
    <w:rsid w:val="00553EEF"/>
    <w:rsid w:val="00553F68"/>
    <w:rsid w:val="00553FC0"/>
    <w:rsid w:val="00553FD7"/>
    <w:rsid w:val="00553FFE"/>
    <w:rsid w:val="00554172"/>
    <w:rsid w:val="00554513"/>
    <w:rsid w:val="0055462A"/>
    <w:rsid w:val="00554777"/>
    <w:rsid w:val="00554A9A"/>
    <w:rsid w:val="00554D25"/>
    <w:rsid w:val="00554D30"/>
    <w:rsid w:val="0055520B"/>
    <w:rsid w:val="00555460"/>
    <w:rsid w:val="005554C8"/>
    <w:rsid w:val="005556B8"/>
    <w:rsid w:val="00555782"/>
    <w:rsid w:val="0055585C"/>
    <w:rsid w:val="0055587A"/>
    <w:rsid w:val="00555893"/>
    <w:rsid w:val="0055590B"/>
    <w:rsid w:val="00555C1B"/>
    <w:rsid w:val="00555C37"/>
    <w:rsid w:val="00555D8C"/>
    <w:rsid w:val="00556289"/>
    <w:rsid w:val="00556381"/>
    <w:rsid w:val="005565F0"/>
    <w:rsid w:val="005566CF"/>
    <w:rsid w:val="005566E6"/>
    <w:rsid w:val="00556873"/>
    <w:rsid w:val="00556D9E"/>
    <w:rsid w:val="0055706F"/>
    <w:rsid w:val="005571F5"/>
    <w:rsid w:val="00557319"/>
    <w:rsid w:val="00557491"/>
    <w:rsid w:val="0055798A"/>
    <w:rsid w:val="00557E0D"/>
    <w:rsid w:val="00560027"/>
    <w:rsid w:val="00560298"/>
    <w:rsid w:val="005602E6"/>
    <w:rsid w:val="00560480"/>
    <w:rsid w:val="00560625"/>
    <w:rsid w:val="00560CBD"/>
    <w:rsid w:val="00560E03"/>
    <w:rsid w:val="00560EAD"/>
    <w:rsid w:val="00560EDF"/>
    <w:rsid w:val="00561162"/>
    <w:rsid w:val="0056135D"/>
    <w:rsid w:val="0056146F"/>
    <w:rsid w:val="0056184F"/>
    <w:rsid w:val="00561A1F"/>
    <w:rsid w:val="00561BAF"/>
    <w:rsid w:val="00562178"/>
    <w:rsid w:val="00562361"/>
    <w:rsid w:val="005623FD"/>
    <w:rsid w:val="00562409"/>
    <w:rsid w:val="005624FF"/>
    <w:rsid w:val="00562545"/>
    <w:rsid w:val="005626DE"/>
    <w:rsid w:val="00562881"/>
    <w:rsid w:val="00562B2E"/>
    <w:rsid w:val="00562D50"/>
    <w:rsid w:val="00562EE4"/>
    <w:rsid w:val="00563090"/>
    <w:rsid w:val="005630FE"/>
    <w:rsid w:val="005635BD"/>
    <w:rsid w:val="00563676"/>
    <w:rsid w:val="00563E1F"/>
    <w:rsid w:val="00563E67"/>
    <w:rsid w:val="00563E91"/>
    <w:rsid w:val="00563EE6"/>
    <w:rsid w:val="00563F8A"/>
    <w:rsid w:val="005641B8"/>
    <w:rsid w:val="00564519"/>
    <w:rsid w:val="0056463E"/>
    <w:rsid w:val="0056466C"/>
    <w:rsid w:val="0056476B"/>
    <w:rsid w:val="00564785"/>
    <w:rsid w:val="0056494A"/>
    <w:rsid w:val="0056498D"/>
    <w:rsid w:val="00564E39"/>
    <w:rsid w:val="00565115"/>
    <w:rsid w:val="005651AE"/>
    <w:rsid w:val="00565256"/>
    <w:rsid w:val="0056543A"/>
    <w:rsid w:val="00565446"/>
    <w:rsid w:val="0056568C"/>
    <w:rsid w:val="005656BB"/>
    <w:rsid w:val="00565C53"/>
    <w:rsid w:val="00565CF1"/>
    <w:rsid w:val="00565F1E"/>
    <w:rsid w:val="00565F6F"/>
    <w:rsid w:val="00566214"/>
    <w:rsid w:val="005662B7"/>
    <w:rsid w:val="00566907"/>
    <w:rsid w:val="00566A63"/>
    <w:rsid w:val="00566B22"/>
    <w:rsid w:val="00566B51"/>
    <w:rsid w:val="00566B58"/>
    <w:rsid w:val="0056713D"/>
    <w:rsid w:val="00567199"/>
    <w:rsid w:val="005672B4"/>
    <w:rsid w:val="005672C2"/>
    <w:rsid w:val="00567390"/>
    <w:rsid w:val="005674F2"/>
    <w:rsid w:val="00567779"/>
    <w:rsid w:val="005679CA"/>
    <w:rsid w:val="00567A13"/>
    <w:rsid w:val="00567C4F"/>
    <w:rsid w:val="00567D32"/>
    <w:rsid w:val="00567DEA"/>
    <w:rsid w:val="005701A4"/>
    <w:rsid w:val="005701D0"/>
    <w:rsid w:val="00570343"/>
    <w:rsid w:val="005703A3"/>
    <w:rsid w:val="00570406"/>
    <w:rsid w:val="00570409"/>
    <w:rsid w:val="0057047F"/>
    <w:rsid w:val="005704AF"/>
    <w:rsid w:val="00570537"/>
    <w:rsid w:val="00570722"/>
    <w:rsid w:val="00570ADB"/>
    <w:rsid w:val="00570EFE"/>
    <w:rsid w:val="00570FB7"/>
    <w:rsid w:val="005711B5"/>
    <w:rsid w:val="005712EC"/>
    <w:rsid w:val="00571632"/>
    <w:rsid w:val="005719FE"/>
    <w:rsid w:val="00571AD1"/>
    <w:rsid w:val="00571BE7"/>
    <w:rsid w:val="00571CB3"/>
    <w:rsid w:val="00571D63"/>
    <w:rsid w:val="00571EC2"/>
    <w:rsid w:val="00571F9D"/>
    <w:rsid w:val="005722D4"/>
    <w:rsid w:val="0057234C"/>
    <w:rsid w:val="005723F0"/>
    <w:rsid w:val="00572446"/>
    <w:rsid w:val="005727E9"/>
    <w:rsid w:val="00572A44"/>
    <w:rsid w:val="00572CD6"/>
    <w:rsid w:val="005731BE"/>
    <w:rsid w:val="0057322B"/>
    <w:rsid w:val="00573284"/>
    <w:rsid w:val="0057333D"/>
    <w:rsid w:val="00573431"/>
    <w:rsid w:val="0057345D"/>
    <w:rsid w:val="00573572"/>
    <w:rsid w:val="00573C32"/>
    <w:rsid w:val="00573C72"/>
    <w:rsid w:val="00573CB6"/>
    <w:rsid w:val="00573EC1"/>
    <w:rsid w:val="00573F69"/>
    <w:rsid w:val="00573FA7"/>
    <w:rsid w:val="00574111"/>
    <w:rsid w:val="005741DA"/>
    <w:rsid w:val="00574322"/>
    <w:rsid w:val="00574960"/>
    <w:rsid w:val="005749CF"/>
    <w:rsid w:val="00574B5F"/>
    <w:rsid w:val="00574B63"/>
    <w:rsid w:val="00574BAE"/>
    <w:rsid w:val="00574BDA"/>
    <w:rsid w:val="00574CCD"/>
    <w:rsid w:val="00574F3F"/>
    <w:rsid w:val="00574F44"/>
    <w:rsid w:val="00574FCD"/>
    <w:rsid w:val="00575055"/>
    <w:rsid w:val="0057507B"/>
    <w:rsid w:val="005750CD"/>
    <w:rsid w:val="005753DC"/>
    <w:rsid w:val="005754A9"/>
    <w:rsid w:val="00575549"/>
    <w:rsid w:val="0057567B"/>
    <w:rsid w:val="005757AD"/>
    <w:rsid w:val="005757E0"/>
    <w:rsid w:val="0057580D"/>
    <w:rsid w:val="00575835"/>
    <w:rsid w:val="005758AC"/>
    <w:rsid w:val="00575928"/>
    <w:rsid w:val="00575991"/>
    <w:rsid w:val="00575D5B"/>
    <w:rsid w:val="00576199"/>
    <w:rsid w:val="0057619D"/>
    <w:rsid w:val="00576206"/>
    <w:rsid w:val="005762EC"/>
    <w:rsid w:val="00576320"/>
    <w:rsid w:val="005763EE"/>
    <w:rsid w:val="00576456"/>
    <w:rsid w:val="00576464"/>
    <w:rsid w:val="005764D0"/>
    <w:rsid w:val="005764F3"/>
    <w:rsid w:val="005765A0"/>
    <w:rsid w:val="00576705"/>
    <w:rsid w:val="00576B0B"/>
    <w:rsid w:val="00576B82"/>
    <w:rsid w:val="00576ED6"/>
    <w:rsid w:val="00576EDB"/>
    <w:rsid w:val="00577095"/>
    <w:rsid w:val="00577162"/>
    <w:rsid w:val="005772A5"/>
    <w:rsid w:val="00577336"/>
    <w:rsid w:val="0057747D"/>
    <w:rsid w:val="005777ED"/>
    <w:rsid w:val="00577862"/>
    <w:rsid w:val="005778B5"/>
    <w:rsid w:val="005779B8"/>
    <w:rsid w:val="00577A62"/>
    <w:rsid w:val="00577B51"/>
    <w:rsid w:val="00577B8C"/>
    <w:rsid w:val="00577D71"/>
    <w:rsid w:val="00577DA0"/>
    <w:rsid w:val="005801E2"/>
    <w:rsid w:val="00580203"/>
    <w:rsid w:val="005806A4"/>
    <w:rsid w:val="00580997"/>
    <w:rsid w:val="00580A86"/>
    <w:rsid w:val="00580DA7"/>
    <w:rsid w:val="00580EB5"/>
    <w:rsid w:val="0058132D"/>
    <w:rsid w:val="00581342"/>
    <w:rsid w:val="005814E6"/>
    <w:rsid w:val="0058157E"/>
    <w:rsid w:val="00581581"/>
    <w:rsid w:val="005816FE"/>
    <w:rsid w:val="00581891"/>
    <w:rsid w:val="00581898"/>
    <w:rsid w:val="00581B4F"/>
    <w:rsid w:val="00581C74"/>
    <w:rsid w:val="00581D1A"/>
    <w:rsid w:val="00581D32"/>
    <w:rsid w:val="00581D5E"/>
    <w:rsid w:val="00581E2C"/>
    <w:rsid w:val="00582117"/>
    <w:rsid w:val="00582198"/>
    <w:rsid w:val="0058220E"/>
    <w:rsid w:val="00582299"/>
    <w:rsid w:val="005822DA"/>
    <w:rsid w:val="005824E6"/>
    <w:rsid w:val="005825AC"/>
    <w:rsid w:val="0058297A"/>
    <w:rsid w:val="00582A2A"/>
    <w:rsid w:val="00582BB7"/>
    <w:rsid w:val="00582E5E"/>
    <w:rsid w:val="00583090"/>
    <w:rsid w:val="005830CF"/>
    <w:rsid w:val="0058317B"/>
    <w:rsid w:val="0058323A"/>
    <w:rsid w:val="005832B9"/>
    <w:rsid w:val="005832F1"/>
    <w:rsid w:val="0058342D"/>
    <w:rsid w:val="005834AD"/>
    <w:rsid w:val="00583799"/>
    <w:rsid w:val="005838BC"/>
    <w:rsid w:val="00583A11"/>
    <w:rsid w:val="00583BD5"/>
    <w:rsid w:val="00583C3A"/>
    <w:rsid w:val="00583F3C"/>
    <w:rsid w:val="00583F6B"/>
    <w:rsid w:val="00583FAA"/>
    <w:rsid w:val="005841F4"/>
    <w:rsid w:val="00584355"/>
    <w:rsid w:val="005844A4"/>
    <w:rsid w:val="00584543"/>
    <w:rsid w:val="005845C0"/>
    <w:rsid w:val="00584A73"/>
    <w:rsid w:val="00584C6D"/>
    <w:rsid w:val="00584DF2"/>
    <w:rsid w:val="0058512B"/>
    <w:rsid w:val="0058516F"/>
    <w:rsid w:val="005851B2"/>
    <w:rsid w:val="00585316"/>
    <w:rsid w:val="005855F9"/>
    <w:rsid w:val="00585680"/>
    <w:rsid w:val="0058571D"/>
    <w:rsid w:val="0058580F"/>
    <w:rsid w:val="00585A42"/>
    <w:rsid w:val="00585A9C"/>
    <w:rsid w:val="00585B8A"/>
    <w:rsid w:val="00585BD7"/>
    <w:rsid w:val="00585C9B"/>
    <w:rsid w:val="00585E1F"/>
    <w:rsid w:val="00586356"/>
    <w:rsid w:val="00586A1C"/>
    <w:rsid w:val="00586A56"/>
    <w:rsid w:val="00586A6A"/>
    <w:rsid w:val="00586AA1"/>
    <w:rsid w:val="00586AE8"/>
    <w:rsid w:val="00586B1F"/>
    <w:rsid w:val="00586CDF"/>
    <w:rsid w:val="00586E5B"/>
    <w:rsid w:val="00586F7C"/>
    <w:rsid w:val="00587500"/>
    <w:rsid w:val="00587596"/>
    <w:rsid w:val="0058767D"/>
    <w:rsid w:val="00587766"/>
    <w:rsid w:val="005878DD"/>
    <w:rsid w:val="00587C96"/>
    <w:rsid w:val="00587D87"/>
    <w:rsid w:val="00587FC8"/>
    <w:rsid w:val="005902D0"/>
    <w:rsid w:val="00590398"/>
    <w:rsid w:val="00590501"/>
    <w:rsid w:val="00590594"/>
    <w:rsid w:val="005905DC"/>
    <w:rsid w:val="005905E9"/>
    <w:rsid w:val="0059074E"/>
    <w:rsid w:val="00590767"/>
    <w:rsid w:val="0059080F"/>
    <w:rsid w:val="00590C79"/>
    <w:rsid w:val="00590D55"/>
    <w:rsid w:val="00590D89"/>
    <w:rsid w:val="0059116C"/>
    <w:rsid w:val="00591387"/>
    <w:rsid w:val="0059144C"/>
    <w:rsid w:val="00591612"/>
    <w:rsid w:val="00591BF1"/>
    <w:rsid w:val="00591C85"/>
    <w:rsid w:val="00591CBD"/>
    <w:rsid w:val="00591DDA"/>
    <w:rsid w:val="00591DFC"/>
    <w:rsid w:val="00591EF8"/>
    <w:rsid w:val="005920AA"/>
    <w:rsid w:val="00592146"/>
    <w:rsid w:val="00592214"/>
    <w:rsid w:val="00592539"/>
    <w:rsid w:val="00592574"/>
    <w:rsid w:val="00592655"/>
    <w:rsid w:val="0059278A"/>
    <w:rsid w:val="00592A8D"/>
    <w:rsid w:val="00592DBB"/>
    <w:rsid w:val="00592DFF"/>
    <w:rsid w:val="00592F20"/>
    <w:rsid w:val="00592F5F"/>
    <w:rsid w:val="00593033"/>
    <w:rsid w:val="00593126"/>
    <w:rsid w:val="00593188"/>
    <w:rsid w:val="005931A1"/>
    <w:rsid w:val="005932FE"/>
    <w:rsid w:val="005934F1"/>
    <w:rsid w:val="00593859"/>
    <w:rsid w:val="00593B83"/>
    <w:rsid w:val="00593BD2"/>
    <w:rsid w:val="00593C63"/>
    <w:rsid w:val="00593C74"/>
    <w:rsid w:val="00593CEB"/>
    <w:rsid w:val="00593D17"/>
    <w:rsid w:val="00593D1C"/>
    <w:rsid w:val="00593FB0"/>
    <w:rsid w:val="00594221"/>
    <w:rsid w:val="0059427F"/>
    <w:rsid w:val="00594280"/>
    <w:rsid w:val="0059440A"/>
    <w:rsid w:val="005944AB"/>
    <w:rsid w:val="00594500"/>
    <w:rsid w:val="0059464F"/>
    <w:rsid w:val="005946E9"/>
    <w:rsid w:val="00594A52"/>
    <w:rsid w:val="00594D5F"/>
    <w:rsid w:val="00594E9C"/>
    <w:rsid w:val="00595253"/>
    <w:rsid w:val="00595352"/>
    <w:rsid w:val="00595628"/>
    <w:rsid w:val="005958E0"/>
    <w:rsid w:val="005959E3"/>
    <w:rsid w:val="00595AA1"/>
    <w:rsid w:val="00595B54"/>
    <w:rsid w:val="00595EDD"/>
    <w:rsid w:val="00596517"/>
    <w:rsid w:val="00596518"/>
    <w:rsid w:val="005965C1"/>
    <w:rsid w:val="005967B1"/>
    <w:rsid w:val="00596884"/>
    <w:rsid w:val="005968A4"/>
    <w:rsid w:val="00596A3B"/>
    <w:rsid w:val="00596A9F"/>
    <w:rsid w:val="00596C15"/>
    <w:rsid w:val="005970DB"/>
    <w:rsid w:val="00597111"/>
    <w:rsid w:val="00597140"/>
    <w:rsid w:val="0059729E"/>
    <w:rsid w:val="00597C5E"/>
    <w:rsid w:val="00597F00"/>
    <w:rsid w:val="00597FA9"/>
    <w:rsid w:val="005A0217"/>
    <w:rsid w:val="005A0283"/>
    <w:rsid w:val="005A0478"/>
    <w:rsid w:val="005A062E"/>
    <w:rsid w:val="005A07F6"/>
    <w:rsid w:val="005A0861"/>
    <w:rsid w:val="005A0A94"/>
    <w:rsid w:val="005A0B2B"/>
    <w:rsid w:val="005A0CD1"/>
    <w:rsid w:val="005A0CF2"/>
    <w:rsid w:val="005A0DF8"/>
    <w:rsid w:val="005A0E01"/>
    <w:rsid w:val="005A0F04"/>
    <w:rsid w:val="005A0FEC"/>
    <w:rsid w:val="005A105F"/>
    <w:rsid w:val="005A11ED"/>
    <w:rsid w:val="005A12D6"/>
    <w:rsid w:val="005A1325"/>
    <w:rsid w:val="005A1347"/>
    <w:rsid w:val="005A1433"/>
    <w:rsid w:val="005A1654"/>
    <w:rsid w:val="005A19B4"/>
    <w:rsid w:val="005A1E21"/>
    <w:rsid w:val="005A1E94"/>
    <w:rsid w:val="005A20B3"/>
    <w:rsid w:val="005A20DA"/>
    <w:rsid w:val="005A2221"/>
    <w:rsid w:val="005A231B"/>
    <w:rsid w:val="005A23F9"/>
    <w:rsid w:val="005A240C"/>
    <w:rsid w:val="005A2524"/>
    <w:rsid w:val="005A252B"/>
    <w:rsid w:val="005A2583"/>
    <w:rsid w:val="005A25B2"/>
    <w:rsid w:val="005A2638"/>
    <w:rsid w:val="005A263D"/>
    <w:rsid w:val="005A2786"/>
    <w:rsid w:val="005A28EA"/>
    <w:rsid w:val="005A29D6"/>
    <w:rsid w:val="005A2E17"/>
    <w:rsid w:val="005A2FAC"/>
    <w:rsid w:val="005A31D2"/>
    <w:rsid w:val="005A32E0"/>
    <w:rsid w:val="005A343F"/>
    <w:rsid w:val="005A377B"/>
    <w:rsid w:val="005A3782"/>
    <w:rsid w:val="005A380C"/>
    <w:rsid w:val="005A3EC5"/>
    <w:rsid w:val="005A3ED9"/>
    <w:rsid w:val="005A3F12"/>
    <w:rsid w:val="005A4132"/>
    <w:rsid w:val="005A425A"/>
    <w:rsid w:val="005A43D4"/>
    <w:rsid w:val="005A43E4"/>
    <w:rsid w:val="005A45A1"/>
    <w:rsid w:val="005A46AF"/>
    <w:rsid w:val="005A4832"/>
    <w:rsid w:val="005A48A6"/>
    <w:rsid w:val="005A48E4"/>
    <w:rsid w:val="005A4B0C"/>
    <w:rsid w:val="005A4B3C"/>
    <w:rsid w:val="005A4D02"/>
    <w:rsid w:val="005A523D"/>
    <w:rsid w:val="005A5333"/>
    <w:rsid w:val="005A53B5"/>
    <w:rsid w:val="005A53D7"/>
    <w:rsid w:val="005A53F9"/>
    <w:rsid w:val="005A5D41"/>
    <w:rsid w:val="005A5EFC"/>
    <w:rsid w:val="005A5F10"/>
    <w:rsid w:val="005A5F2A"/>
    <w:rsid w:val="005A611E"/>
    <w:rsid w:val="005A642C"/>
    <w:rsid w:val="005A647A"/>
    <w:rsid w:val="005A64F4"/>
    <w:rsid w:val="005A6547"/>
    <w:rsid w:val="005A6554"/>
    <w:rsid w:val="005A6760"/>
    <w:rsid w:val="005A6B6F"/>
    <w:rsid w:val="005A6EA1"/>
    <w:rsid w:val="005A6F75"/>
    <w:rsid w:val="005A6FFA"/>
    <w:rsid w:val="005A71C2"/>
    <w:rsid w:val="005A72EC"/>
    <w:rsid w:val="005A77C8"/>
    <w:rsid w:val="005A7C46"/>
    <w:rsid w:val="005A7CD2"/>
    <w:rsid w:val="005A7CD7"/>
    <w:rsid w:val="005A7D12"/>
    <w:rsid w:val="005A7F18"/>
    <w:rsid w:val="005A7F22"/>
    <w:rsid w:val="005A7F45"/>
    <w:rsid w:val="005B0148"/>
    <w:rsid w:val="005B0153"/>
    <w:rsid w:val="005B0594"/>
    <w:rsid w:val="005B0629"/>
    <w:rsid w:val="005B06D4"/>
    <w:rsid w:val="005B0930"/>
    <w:rsid w:val="005B0AB9"/>
    <w:rsid w:val="005B0D82"/>
    <w:rsid w:val="005B0DE3"/>
    <w:rsid w:val="005B0E60"/>
    <w:rsid w:val="005B0F8D"/>
    <w:rsid w:val="005B1192"/>
    <w:rsid w:val="005B1225"/>
    <w:rsid w:val="005B127B"/>
    <w:rsid w:val="005B13FD"/>
    <w:rsid w:val="005B14B7"/>
    <w:rsid w:val="005B1696"/>
    <w:rsid w:val="005B175D"/>
    <w:rsid w:val="005B17E5"/>
    <w:rsid w:val="005B1849"/>
    <w:rsid w:val="005B1932"/>
    <w:rsid w:val="005B19EE"/>
    <w:rsid w:val="005B1A49"/>
    <w:rsid w:val="005B1A78"/>
    <w:rsid w:val="005B1B06"/>
    <w:rsid w:val="005B1DF6"/>
    <w:rsid w:val="005B1DF7"/>
    <w:rsid w:val="005B211C"/>
    <w:rsid w:val="005B2303"/>
    <w:rsid w:val="005B24DC"/>
    <w:rsid w:val="005B25B1"/>
    <w:rsid w:val="005B278F"/>
    <w:rsid w:val="005B27B3"/>
    <w:rsid w:val="005B28F2"/>
    <w:rsid w:val="005B28FC"/>
    <w:rsid w:val="005B2A6A"/>
    <w:rsid w:val="005B2F50"/>
    <w:rsid w:val="005B3011"/>
    <w:rsid w:val="005B3075"/>
    <w:rsid w:val="005B3182"/>
    <w:rsid w:val="005B33AC"/>
    <w:rsid w:val="005B3473"/>
    <w:rsid w:val="005B3663"/>
    <w:rsid w:val="005B36E8"/>
    <w:rsid w:val="005B370D"/>
    <w:rsid w:val="005B3968"/>
    <w:rsid w:val="005B3A3B"/>
    <w:rsid w:val="005B3ACD"/>
    <w:rsid w:val="005B3BA5"/>
    <w:rsid w:val="005B3BF8"/>
    <w:rsid w:val="005B3CCD"/>
    <w:rsid w:val="005B3D66"/>
    <w:rsid w:val="005B3F16"/>
    <w:rsid w:val="005B3F78"/>
    <w:rsid w:val="005B3FB8"/>
    <w:rsid w:val="005B41AA"/>
    <w:rsid w:val="005B4237"/>
    <w:rsid w:val="005B440C"/>
    <w:rsid w:val="005B4450"/>
    <w:rsid w:val="005B4464"/>
    <w:rsid w:val="005B4478"/>
    <w:rsid w:val="005B47CA"/>
    <w:rsid w:val="005B4C39"/>
    <w:rsid w:val="005B4C72"/>
    <w:rsid w:val="005B4DD4"/>
    <w:rsid w:val="005B4DEF"/>
    <w:rsid w:val="005B4FF0"/>
    <w:rsid w:val="005B5022"/>
    <w:rsid w:val="005B517C"/>
    <w:rsid w:val="005B53D4"/>
    <w:rsid w:val="005B54EA"/>
    <w:rsid w:val="005B5589"/>
    <w:rsid w:val="005B55B6"/>
    <w:rsid w:val="005B55E6"/>
    <w:rsid w:val="005B5721"/>
    <w:rsid w:val="005B5920"/>
    <w:rsid w:val="005B5A72"/>
    <w:rsid w:val="005B5C5A"/>
    <w:rsid w:val="005B5CDE"/>
    <w:rsid w:val="005B5ED5"/>
    <w:rsid w:val="005B60AE"/>
    <w:rsid w:val="005B624A"/>
    <w:rsid w:val="005B634E"/>
    <w:rsid w:val="005B647C"/>
    <w:rsid w:val="005B65EB"/>
    <w:rsid w:val="005B6786"/>
    <w:rsid w:val="005B6B56"/>
    <w:rsid w:val="005B6C53"/>
    <w:rsid w:val="005B6CE5"/>
    <w:rsid w:val="005B6D6E"/>
    <w:rsid w:val="005B6E49"/>
    <w:rsid w:val="005B6F77"/>
    <w:rsid w:val="005B722D"/>
    <w:rsid w:val="005B7802"/>
    <w:rsid w:val="005B78FB"/>
    <w:rsid w:val="005B78FE"/>
    <w:rsid w:val="005B79E1"/>
    <w:rsid w:val="005B7B2F"/>
    <w:rsid w:val="005B7DED"/>
    <w:rsid w:val="005C00DA"/>
    <w:rsid w:val="005C01AA"/>
    <w:rsid w:val="005C029E"/>
    <w:rsid w:val="005C03F0"/>
    <w:rsid w:val="005C05A7"/>
    <w:rsid w:val="005C0602"/>
    <w:rsid w:val="005C0712"/>
    <w:rsid w:val="005C0807"/>
    <w:rsid w:val="005C0870"/>
    <w:rsid w:val="005C08C6"/>
    <w:rsid w:val="005C09AD"/>
    <w:rsid w:val="005C09BE"/>
    <w:rsid w:val="005C0BFA"/>
    <w:rsid w:val="005C0D0C"/>
    <w:rsid w:val="005C0E45"/>
    <w:rsid w:val="005C1406"/>
    <w:rsid w:val="005C1411"/>
    <w:rsid w:val="005C1420"/>
    <w:rsid w:val="005C15AC"/>
    <w:rsid w:val="005C17FD"/>
    <w:rsid w:val="005C19B7"/>
    <w:rsid w:val="005C19E4"/>
    <w:rsid w:val="005C1AA1"/>
    <w:rsid w:val="005C1AA2"/>
    <w:rsid w:val="005C1B92"/>
    <w:rsid w:val="005C1BF6"/>
    <w:rsid w:val="005C1C8B"/>
    <w:rsid w:val="005C1D09"/>
    <w:rsid w:val="005C1D2E"/>
    <w:rsid w:val="005C1D3B"/>
    <w:rsid w:val="005C1E89"/>
    <w:rsid w:val="005C1FFE"/>
    <w:rsid w:val="005C2046"/>
    <w:rsid w:val="005C20E1"/>
    <w:rsid w:val="005C20F2"/>
    <w:rsid w:val="005C2186"/>
    <w:rsid w:val="005C222E"/>
    <w:rsid w:val="005C2307"/>
    <w:rsid w:val="005C23C3"/>
    <w:rsid w:val="005C23FF"/>
    <w:rsid w:val="005C2568"/>
    <w:rsid w:val="005C25FC"/>
    <w:rsid w:val="005C2A7B"/>
    <w:rsid w:val="005C2B8B"/>
    <w:rsid w:val="005C2BCD"/>
    <w:rsid w:val="005C2DB9"/>
    <w:rsid w:val="005C3187"/>
    <w:rsid w:val="005C31FA"/>
    <w:rsid w:val="005C32B7"/>
    <w:rsid w:val="005C3706"/>
    <w:rsid w:val="005C39B9"/>
    <w:rsid w:val="005C3B76"/>
    <w:rsid w:val="005C3E56"/>
    <w:rsid w:val="005C4137"/>
    <w:rsid w:val="005C416D"/>
    <w:rsid w:val="005C439C"/>
    <w:rsid w:val="005C4637"/>
    <w:rsid w:val="005C46DA"/>
    <w:rsid w:val="005C4737"/>
    <w:rsid w:val="005C4791"/>
    <w:rsid w:val="005C4A9D"/>
    <w:rsid w:val="005C4B62"/>
    <w:rsid w:val="005C4BB1"/>
    <w:rsid w:val="005C4C59"/>
    <w:rsid w:val="005C4CAD"/>
    <w:rsid w:val="005C4F87"/>
    <w:rsid w:val="005C528F"/>
    <w:rsid w:val="005C52AA"/>
    <w:rsid w:val="005C5581"/>
    <w:rsid w:val="005C56D5"/>
    <w:rsid w:val="005C571B"/>
    <w:rsid w:val="005C57B1"/>
    <w:rsid w:val="005C5880"/>
    <w:rsid w:val="005C59B7"/>
    <w:rsid w:val="005C59D7"/>
    <w:rsid w:val="005C5BC0"/>
    <w:rsid w:val="005C5CCA"/>
    <w:rsid w:val="005C5CDB"/>
    <w:rsid w:val="005C5D46"/>
    <w:rsid w:val="005C5E3B"/>
    <w:rsid w:val="005C5EA2"/>
    <w:rsid w:val="005C5EEC"/>
    <w:rsid w:val="005C615A"/>
    <w:rsid w:val="005C61B5"/>
    <w:rsid w:val="005C624F"/>
    <w:rsid w:val="005C638A"/>
    <w:rsid w:val="005C63C1"/>
    <w:rsid w:val="005C64B8"/>
    <w:rsid w:val="005C658D"/>
    <w:rsid w:val="005C671E"/>
    <w:rsid w:val="005C6827"/>
    <w:rsid w:val="005C6879"/>
    <w:rsid w:val="005C6909"/>
    <w:rsid w:val="005C6A69"/>
    <w:rsid w:val="005C6B2A"/>
    <w:rsid w:val="005C6B67"/>
    <w:rsid w:val="005C7004"/>
    <w:rsid w:val="005C721A"/>
    <w:rsid w:val="005C730B"/>
    <w:rsid w:val="005C745F"/>
    <w:rsid w:val="005C7470"/>
    <w:rsid w:val="005C7668"/>
    <w:rsid w:val="005C791B"/>
    <w:rsid w:val="005C796F"/>
    <w:rsid w:val="005C7B8B"/>
    <w:rsid w:val="005C7C90"/>
    <w:rsid w:val="005C7D1E"/>
    <w:rsid w:val="005C7DF0"/>
    <w:rsid w:val="005C7EF4"/>
    <w:rsid w:val="005D016B"/>
    <w:rsid w:val="005D044F"/>
    <w:rsid w:val="005D0705"/>
    <w:rsid w:val="005D082C"/>
    <w:rsid w:val="005D08EE"/>
    <w:rsid w:val="005D0A33"/>
    <w:rsid w:val="005D0A9D"/>
    <w:rsid w:val="005D0BFD"/>
    <w:rsid w:val="005D0D6A"/>
    <w:rsid w:val="005D0E1F"/>
    <w:rsid w:val="005D0F9C"/>
    <w:rsid w:val="005D102B"/>
    <w:rsid w:val="005D1038"/>
    <w:rsid w:val="005D14C8"/>
    <w:rsid w:val="005D14FB"/>
    <w:rsid w:val="005D1540"/>
    <w:rsid w:val="005D15BC"/>
    <w:rsid w:val="005D1646"/>
    <w:rsid w:val="005D1851"/>
    <w:rsid w:val="005D1889"/>
    <w:rsid w:val="005D1A32"/>
    <w:rsid w:val="005D1A46"/>
    <w:rsid w:val="005D1AB1"/>
    <w:rsid w:val="005D1AFF"/>
    <w:rsid w:val="005D1DCF"/>
    <w:rsid w:val="005D1E2D"/>
    <w:rsid w:val="005D1FF9"/>
    <w:rsid w:val="005D20F7"/>
    <w:rsid w:val="005D2330"/>
    <w:rsid w:val="005D24BE"/>
    <w:rsid w:val="005D2695"/>
    <w:rsid w:val="005D2709"/>
    <w:rsid w:val="005D2806"/>
    <w:rsid w:val="005D2A14"/>
    <w:rsid w:val="005D2CFB"/>
    <w:rsid w:val="005D313E"/>
    <w:rsid w:val="005D3410"/>
    <w:rsid w:val="005D35FC"/>
    <w:rsid w:val="005D3780"/>
    <w:rsid w:val="005D3890"/>
    <w:rsid w:val="005D397A"/>
    <w:rsid w:val="005D39FD"/>
    <w:rsid w:val="005D3C2E"/>
    <w:rsid w:val="005D3E37"/>
    <w:rsid w:val="005D3F0D"/>
    <w:rsid w:val="005D3F80"/>
    <w:rsid w:val="005D410B"/>
    <w:rsid w:val="005D4720"/>
    <w:rsid w:val="005D4837"/>
    <w:rsid w:val="005D4BFE"/>
    <w:rsid w:val="005D4E86"/>
    <w:rsid w:val="005D4F50"/>
    <w:rsid w:val="005D50C9"/>
    <w:rsid w:val="005D5488"/>
    <w:rsid w:val="005D564A"/>
    <w:rsid w:val="005D5951"/>
    <w:rsid w:val="005D5D17"/>
    <w:rsid w:val="005D5DCC"/>
    <w:rsid w:val="005D6159"/>
    <w:rsid w:val="005D621D"/>
    <w:rsid w:val="005D6335"/>
    <w:rsid w:val="005D63E0"/>
    <w:rsid w:val="005D6594"/>
    <w:rsid w:val="005D65D8"/>
    <w:rsid w:val="005D6601"/>
    <w:rsid w:val="005D667A"/>
    <w:rsid w:val="005D6806"/>
    <w:rsid w:val="005D6815"/>
    <w:rsid w:val="005D690E"/>
    <w:rsid w:val="005D69E4"/>
    <w:rsid w:val="005D6A7A"/>
    <w:rsid w:val="005D6D21"/>
    <w:rsid w:val="005D6FA8"/>
    <w:rsid w:val="005D70EF"/>
    <w:rsid w:val="005D730C"/>
    <w:rsid w:val="005D734B"/>
    <w:rsid w:val="005D75ED"/>
    <w:rsid w:val="005D7651"/>
    <w:rsid w:val="005D78C6"/>
    <w:rsid w:val="005D797B"/>
    <w:rsid w:val="005D7CA2"/>
    <w:rsid w:val="005D7D7E"/>
    <w:rsid w:val="005D7EEC"/>
    <w:rsid w:val="005D7F54"/>
    <w:rsid w:val="005E01BF"/>
    <w:rsid w:val="005E0329"/>
    <w:rsid w:val="005E038B"/>
    <w:rsid w:val="005E039B"/>
    <w:rsid w:val="005E0577"/>
    <w:rsid w:val="005E0609"/>
    <w:rsid w:val="005E064F"/>
    <w:rsid w:val="005E08CA"/>
    <w:rsid w:val="005E09EF"/>
    <w:rsid w:val="005E0AAB"/>
    <w:rsid w:val="005E0B89"/>
    <w:rsid w:val="005E0D56"/>
    <w:rsid w:val="005E0E02"/>
    <w:rsid w:val="005E0FB5"/>
    <w:rsid w:val="005E100E"/>
    <w:rsid w:val="005E1188"/>
    <w:rsid w:val="005E15DD"/>
    <w:rsid w:val="005E1A29"/>
    <w:rsid w:val="005E1A50"/>
    <w:rsid w:val="005E1DD2"/>
    <w:rsid w:val="005E1DEE"/>
    <w:rsid w:val="005E1ECC"/>
    <w:rsid w:val="005E1F4C"/>
    <w:rsid w:val="005E2442"/>
    <w:rsid w:val="005E25A6"/>
    <w:rsid w:val="005E26F8"/>
    <w:rsid w:val="005E27A3"/>
    <w:rsid w:val="005E27B8"/>
    <w:rsid w:val="005E2822"/>
    <w:rsid w:val="005E2867"/>
    <w:rsid w:val="005E299F"/>
    <w:rsid w:val="005E2C2F"/>
    <w:rsid w:val="005E2D5F"/>
    <w:rsid w:val="005E2E53"/>
    <w:rsid w:val="005E2EBB"/>
    <w:rsid w:val="005E2F5F"/>
    <w:rsid w:val="005E31C7"/>
    <w:rsid w:val="005E33BE"/>
    <w:rsid w:val="005E33F6"/>
    <w:rsid w:val="005E36F4"/>
    <w:rsid w:val="005E3775"/>
    <w:rsid w:val="005E3902"/>
    <w:rsid w:val="005E3BB3"/>
    <w:rsid w:val="005E3BCF"/>
    <w:rsid w:val="005E3C87"/>
    <w:rsid w:val="005E3CE9"/>
    <w:rsid w:val="005E3DBF"/>
    <w:rsid w:val="005E3F20"/>
    <w:rsid w:val="005E3F25"/>
    <w:rsid w:val="005E3F46"/>
    <w:rsid w:val="005E4123"/>
    <w:rsid w:val="005E41FC"/>
    <w:rsid w:val="005E445E"/>
    <w:rsid w:val="005E44EA"/>
    <w:rsid w:val="005E4654"/>
    <w:rsid w:val="005E46B2"/>
    <w:rsid w:val="005E4A1C"/>
    <w:rsid w:val="005E4DF9"/>
    <w:rsid w:val="005E4E64"/>
    <w:rsid w:val="005E50ED"/>
    <w:rsid w:val="005E5140"/>
    <w:rsid w:val="005E51BC"/>
    <w:rsid w:val="005E565C"/>
    <w:rsid w:val="005E567B"/>
    <w:rsid w:val="005E56B1"/>
    <w:rsid w:val="005E585A"/>
    <w:rsid w:val="005E589F"/>
    <w:rsid w:val="005E5CE1"/>
    <w:rsid w:val="005E5E1E"/>
    <w:rsid w:val="005E5F2A"/>
    <w:rsid w:val="005E67A9"/>
    <w:rsid w:val="005E67EC"/>
    <w:rsid w:val="005E682F"/>
    <w:rsid w:val="005E6AE3"/>
    <w:rsid w:val="005E70F1"/>
    <w:rsid w:val="005E7193"/>
    <w:rsid w:val="005E72DE"/>
    <w:rsid w:val="005E744B"/>
    <w:rsid w:val="005E773B"/>
    <w:rsid w:val="005E785D"/>
    <w:rsid w:val="005E78E9"/>
    <w:rsid w:val="005E7A4C"/>
    <w:rsid w:val="005E7E1E"/>
    <w:rsid w:val="005E7E49"/>
    <w:rsid w:val="005E7F10"/>
    <w:rsid w:val="005F0067"/>
    <w:rsid w:val="005F0069"/>
    <w:rsid w:val="005F01BB"/>
    <w:rsid w:val="005F03A5"/>
    <w:rsid w:val="005F0488"/>
    <w:rsid w:val="005F04B8"/>
    <w:rsid w:val="005F0574"/>
    <w:rsid w:val="005F0A3B"/>
    <w:rsid w:val="005F0B93"/>
    <w:rsid w:val="005F0BC6"/>
    <w:rsid w:val="005F0DD0"/>
    <w:rsid w:val="005F0E1E"/>
    <w:rsid w:val="005F0FB6"/>
    <w:rsid w:val="005F0FE9"/>
    <w:rsid w:val="005F13CC"/>
    <w:rsid w:val="005F16AF"/>
    <w:rsid w:val="005F1805"/>
    <w:rsid w:val="005F18BB"/>
    <w:rsid w:val="005F1B09"/>
    <w:rsid w:val="005F1B67"/>
    <w:rsid w:val="005F1C85"/>
    <w:rsid w:val="005F1CCF"/>
    <w:rsid w:val="005F203A"/>
    <w:rsid w:val="005F2103"/>
    <w:rsid w:val="005F230C"/>
    <w:rsid w:val="005F240C"/>
    <w:rsid w:val="005F24E9"/>
    <w:rsid w:val="005F28A6"/>
    <w:rsid w:val="005F2AA9"/>
    <w:rsid w:val="005F2D6E"/>
    <w:rsid w:val="005F2E04"/>
    <w:rsid w:val="005F2E9E"/>
    <w:rsid w:val="005F3066"/>
    <w:rsid w:val="005F30FB"/>
    <w:rsid w:val="005F315B"/>
    <w:rsid w:val="005F316E"/>
    <w:rsid w:val="005F31A5"/>
    <w:rsid w:val="005F31DD"/>
    <w:rsid w:val="005F3201"/>
    <w:rsid w:val="005F3274"/>
    <w:rsid w:val="005F3300"/>
    <w:rsid w:val="005F3547"/>
    <w:rsid w:val="005F35BF"/>
    <w:rsid w:val="005F36A5"/>
    <w:rsid w:val="005F387B"/>
    <w:rsid w:val="005F38BB"/>
    <w:rsid w:val="005F3BD5"/>
    <w:rsid w:val="005F3C07"/>
    <w:rsid w:val="005F3C14"/>
    <w:rsid w:val="005F3C4E"/>
    <w:rsid w:val="005F3F5F"/>
    <w:rsid w:val="005F401A"/>
    <w:rsid w:val="005F41EF"/>
    <w:rsid w:val="005F429D"/>
    <w:rsid w:val="005F46D2"/>
    <w:rsid w:val="005F47CE"/>
    <w:rsid w:val="005F47E8"/>
    <w:rsid w:val="005F4B0D"/>
    <w:rsid w:val="005F4BB6"/>
    <w:rsid w:val="005F4C2E"/>
    <w:rsid w:val="005F4C8B"/>
    <w:rsid w:val="005F4CE1"/>
    <w:rsid w:val="005F4DF5"/>
    <w:rsid w:val="005F4F6B"/>
    <w:rsid w:val="005F4F8A"/>
    <w:rsid w:val="005F528D"/>
    <w:rsid w:val="005F55C5"/>
    <w:rsid w:val="005F56B5"/>
    <w:rsid w:val="005F5922"/>
    <w:rsid w:val="005F5A01"/>
    <w:rsid w:val="005F5A90"/>
    <w:rsid w:val="005F5A9D"/>
    <w:rsid w:val="005F5EFA"/>
    <w:rsid w:val="005F5F42"/>
    <w:rsid w:val="005F5F44"/>
    <w:rsid w:val="005F5F76"/>
    <w:rsid w:val="005F6029"/>
    <w:rsid w:val="005F6147"/>
    <w:rsid w:val="005F61D9"/>
    <w:rsid w:val="005F650F"/>
    <w:rsid w:val="005F6640"/>
    <w:rsid w:val="005F6668"/>
    <w:rsid w:val="005F6677"/>
    <w:rsid w:val="005F693F"/>
    <w:rsid w:val="005F6A5A"/>
    <w:rsid w:val="005F6B09"/>
    <w:rsid w:val="005F6B21"/>
    <w:rsid w:val="005F6B7C"/>
    <w:rsid w:val="005F6C96"/>
    <w:rsid w:val="005F6DF2"/>
    <w:rsid w:val="005F6EF7"/>
    <w:rsid w:val="005F6F0F"/>
    <w:rsid w:val="005F6F72"/>
    <w:rsid w:val="005F7124"/>
    <w:rsid w:val="005F7283"/>
    <w:rsid w:val="005F73B9"/>
    <w:rsid w:val="005F7597"/>
    <w:rsid w:val="005F76DF"/>
    <w:rsid w:val="005F779E"/>
    <w:rsid w:val="005F7A77"/>
    <w:rsid w:val="005F7ACB"/>
    <w:rsid w:val="005F7CD9"/>
    <w:rsid w:val="005F7D78"/>
    <w:rsid w:val="005F7FA9"/>
    <w:rsid w:val="006000C3"/>
    <w:rsid w:val="006006B7"/>
    <w:rsid w:val="00600709"/>
    <w:rsid w:val="00600727"/>
    <w:rsid w:val="0060090B"/>
    <w:rsid w:val="0060095E"/>
    <w:rsid w:val="006009AE"/>
    <w:rsid w:val="00600A9C"/>
    <w:rsid w:val="00600BDC"/>
    <w:rsid w:val="00600DF7"/>
    <w:rsid w:val="00600E70"/>
    <w:rsid w:val="00600F60"/>
    <w:rsid w:val="00600F83"/>
    <w:rsid w:val="0060119A"/>
    <w:rsid w:val="00601208"/>
    <w:rsid w:val="0060123F"/>
    <w:rsid w:val="00601595"/>
    <w:rsid w:val="00601EA4"/>
    <w:rsid w:val="00601F17"/>
    <w:rsid w:val="00601F69"/>
    <w:rsid w:val="00602058"/>
    <w:rsid w:val="00602210"/>
    <w:rsid w:val="006022FA"/>
    <w:rsid w:val="006024D5"/>
    <w:rsid w:val="00602A49"/>
    <w:rsid w:val="00602B54"/>
    <w:rsid w:val="00602C26"/>
    <w:rsid w:val="00602C37"/>
    <w:rsid w:val="00602E59"/>
    <w:rsid w:val="00602ED1"/>
    <w:rsid w:val="00602FE7"/>
    <w:rsid w:val="0060339B"/>
    <w:rsid w:val="0060346D"/>
    <w:rsid w:val="006038C7"/>
    <w:rsid w:val="006039FB"/>
    <w:rsid w:val="00603BD8"/>
    <w:rsid w:val="00603D41"/>
    <w:rsid w:val="00603DDB"/>
    <w:rsid w:val="00603EFF"/>
    <w:rsid w:val="0060457D"/>
    <w:rsid w:val="00604616"/>
    <w:rsid w:val="00604CDF"/>
    <w:rsid w:val="00604F19"/>
    <w:rsid w:val="0060506A"/>
    <w:rsid w:val="006050A6"/>
    <w:rsid w:val="006050CD"/>
    <w:rsid w:val="0060517F"/>
    <w:rsid w:val="006051A8"/>
    <w:rsid w:val="006052AC"/>
    <w:rsid w:val="00605551"/>
    <w:rsid w:val="006055AE"/>
    <w:rsid w:val="00605630"/>
    <w:rsid w:val="006056FE"/>
    <w:rsid w:val="00605715"/>
    <w:rsid w:val="006058DE"/>
    <w:rsid w:val="00605A0E"/>
    <w:rsid w:val="00605A54"/>
    <w:rsid w:val="0060604C"/>
    <w:rsid w:val="006061C6"/>
    <w:rsid w:val="006067FA"/>
    <w:rsid w:val="00606919"/>
    <w:rsid w:val="00606A28"/>
    <w:rsid w:val="00606B11"/>
    <w:rsid w:val="00606C6C"/>
    <w:rsid w:val="00606D88"/>
    <w:rsid w:val="00606DAD"/>
    <w:rsid w:val="00606DFC"/>
    <w:rsid w:val="00606E1E"/>
    <w:rsid w:val="0060704C"/>
    <w:rsid w:val="00607397"/>
    <w:rsid w:val="006075D6"/>
    <w:rsid w:val="006075F8"/>
    <w:rsid w:val="00607879"/>
    <w:rsid w:val="006078A6"/>
    <w:rsid w:val="00607B31"/>
    <w:rsid w:val="00607BE9"/>
    <w:rsid w:val="00607C3A"/>
    <w:rsid w:val="00607C5E"/>
    <w:rsid w:val="00607C84"/>
    <w:rsid w:val="00607FF1"/>
    <w:rsid w:val="006100E9"/>
    <w:rsid w:val="006100EE"/>
    <w:rsid w:val="0061026B"/>
    <w:rsid w:val="00610721"/>
    <w:rsid w:val="00610794"/>
    <w:rsid w:val="006107A3"/>
    <w:rsid w:val="00610990"/>
    <w:rsid w:val="00610F16"/>
    <w:rsid w:val="00610F17"/>
    <w:rsid w:val="00611158"/>
    <w:rsid w:val="006112F2"/>
    <w:rsid w:val="0061134D"/>
    <w:rsid w:val="006113BA"/>
    <w:rsid w:val="00611485"/>
    <w:rsid w:val="0061148C"/>
    <w:rsid w:val="00611711"/>
    <w:rsid w:val="00611A32"/>
    <w:rsid w:val="00611CBC"/>
    <w:rsid w:val="00611D44"/>
    <w:rsid w:val="00611DDE"/>
    <w:rsid w:val="00611EFF"/>
    <w:rsid w:val="00611FD4"/>
    <w:rsid w:val="00612293"/>
    <w:rsid w:val="00612327"/>
    <w:rsid w:val="006123B5"/>
    <w:rsid w:val="006123C3"/>
    <w:rsid w:val="006123FC"/>
    <w:rsid w:val="0061242B"/>
    <w:rsid w:val="00612927"/>
    <w:rsid w:val="00612ED9"/>
    <w:rsid w:val="00612F2B"/>
    <w:rsid w:val="00612F62"/>
    <w:rsid w:val="00613016"/>
    <w:rsid w:val="0061304B"/>
    <w:rsid w:val="00613102"/>
    <w:rsid w:val="006134E7"/>
    <w:rsid w:val="00613510"/>
    <w:rsid w:val="00613624"/>
    <w:rsid w:val="00613634"/>
    <w:rsid w:val="0061368F"/>
    <w:rsid w:val="006137B9"/>
    <w:rsid w:val="00613B78"/>
    <w:rsid w:val="00613C53"/>
    <w:rsid w:val="00613D14"/>
    <w:rsid w:val="00613E38"/>
    <w:rsid w:val="00614018"/>
    <w:rsid w:val="006140ED"/>
    <w:rsid w:val="0061480D"/>
    <w:rsid w:val="0061491E"/>
    <w:rsid w:val="006149E4"/>
    <w:rsid w:val="00614A12"/>
    <w:rsid w:val="00614AA3"/>
    <w:rsid w:val="00614AA5"/>
    <w:rsid w:val="00614B7C"/>
    <w:rsid w:val="00614D26"/>
    <w:rsid w:val="00614F8E"/>
    <w:rsid w:val="00615221"/>
    <w:rsid w:val="0061554C"/>
    <w:rsid w:val="006159DB"/>
    <w:rsid w:val="00615AFC"/>
    <w:rsid w:val="00615B32"/>
    <w:rsid w:val="00615BB3"/>
    <w:rsid w:val="00615F4C"/>
    <w:rsid w:val="00616074"/>
    <w:rsid w:val="006165AB"/>
    <w:rsid w:val="00616E62"/>
    <w:rsid w:val="00616F9F"/>
    <w:rsid w:val="0061712A"/>
    <w:rsid w:val="0061723E"/>
    <w:rsid w:val="0061763F"/>
    <w:rsid w:val="006176E9"/>
    <w:rsid w:val="006176F1"/>
    <w:rsid w:val="00617736"/>
    <w:rsid w:val="0061784B"/>
    <w:rsid w:val="00617945"/>
    <w:rsid w:val="00617A2E"/>
    <w:rsid w:val="00617A69"/>
    <w:rsid w:val="00617B83"/>
    <w:rsid w:val="00617C6E"/>
    <w:rsid w:val="00617CEF"/>
    <w:rsid w:val="00617FE7"/>
    <w:rsid w:val="006200B9"/>
    <w:rsid w:val="006200CC"/>
    <w:rsid w:val="006202CE"/>
    <w:rsid w:val="00620577"/>
    <w:rsid w:val="00620612"/>
    <w:rsid w:val="00620676"/>
    <w:rsid w:val="006207C2"/>
    <w:rsid w:val="0062089A"/>
    <w:rsid w:val="006208B4"/>
    <w:rsid w:val="006208C0"/>
    <w:rsid w:val="0062092F"/>
    <w:rsid w:val="0062096A"/>
    <w:rsid w:val="00620B8D"/>
    <w:rsid w:val="00620BEF"/>
    <w:rsid w:val="00620DA4"/>
    <w:rsid w:val="00620E03"/>
    <w:rsid w:val="00620EE0"/>
    <w:rsid w:val="00620F5C"/>
    <w:rsid w:val="006210C1"/>
    <w:rsid w:val="006213BA"/>
    <w:rsid w:val="006213FA"/>
    <w:rsid w:val="006215D6"/>
    <w:rsid w:val="00621B0C"/>
    <w:rsid w:val="00621B2B"/>
    <w:rsid w:val="00621C33"/>
    <w:rsid w:val="00621EAE"/>
    <w:rsid w:val="0062210B"/>
    <w:rsid w:val="00622162"/>
    <w:rsid w:val="006222F6"/>
    <w:rsid w:val="006226EE"/>
    <w:rsid w:val="00622925"/>
    <w:rsid w:val="00622A19"/>
    <w:rsid w:val="00622B12"/>
    <w:rsid w:val="00622B38"/>
    <w:rsid w:val="00622BFC"/>
    <w:rsid w:val="00622CEA"/>
    <w:rsid w:val="00622EB8"/>
    <w:rsid w:val="00622F4D"/>
    <w:rsid w:val="00623142"/>
    <w:rsid w:val="00623285"/>
    <w:rsid w:val="006232E5"/>
    <w:rsid w:val="006232EF"/>
    <w:rsid w:val="00623753"/>
    <w:rsid w:val="00623A21"/>
    <w:rsid w:val="00623A2D"/>
    <w:rsid w:val="00623F68"/>
    <w:rsid w:val="006240AC"/>
    <w:rsid w:val="0062410F"/>
    <w:rsid w:val="006241C1"/>
    <w:rsid w:val="00624218"/>
    <w:rsid w:val="00624283"/>
    <w:rsid w:val="00624583"/>
    <w:rsid w:val="00624667"/>
    <w:rsid w:val="00624733"/>
    <w:rsid w:val="006247E5"/>
    <w:rsid w:val="00624A30"/>
    <w:rsid w:val="00624DD9"/>
    <w:rsid w:val="00624E2F"/>
    <w:rsid w:val="00624E8F"/>
    <w:rsid w:val="0062519A"/>
    <w:rsid w:val="00625207"/>
    <w:rsid w:val="00625261"/>
    <w:rsid w:val="00625350"/>
    <w:rsid w:val="00625366"/>
    <w:rsid w:val="006255D6"/>
    <w:rsid w:val="00625684"/>
    <w:rsid w:val="0062591A"/>
    <w:rsid w:val="00625A3D"/>
    <w:rsid w:val="00625ADD"/>
    <w:rsid w:val="00625BF9"/>
    <w:rsid w:val="00625D81"/>
    <w:rsid w:val="00625EBE"/>
    <w:rsid w:val="00626027"/>
    <w:rsid w:val="006262AC"/>
    <w:rsid w:val="0062633A"/>
    <w:rsid w:val="006263F1"/>
    <w:rsid w:val="006264D9"/>
    <w:rsid w:val="00626812"/>
    <w:rsid w:val="006268D2"/>
    <w:rsid w:val="00626911"/>
    <w:rsid w:val="00626976"/>
    <w:rsid w:val="006269AA"/>
    <w:rsid w:val="006269F2"/>
    <w:rsid w:val="00626A95"/>
    <w:rsid w:val="00626B85"/>
    <w:rsid w:val="00626E73"/>
    <w:rsid w:val="00626FDB"/>
    <w:rsid w:val="00626FDE"/>
    <w:rsid w:val="00627098"/>
    <w:rsid w:val="006272E9"/>
    <w:rsid w:val="0062732E"/>
    <w:rsid w:val="006274D2"/>
    <w:rsid w:val="0062753A"/>
    <w:rsid w:val="0062758A"/>
    <w:rsid w:val="006275CB"/>
    <w:rsid w:val="00627663"/>
    <w:rsid w:val="0062776C"/>
    <w:rsid w:val="00627894"/>
    <w:rsid w:val="00627B70"/>
    <w:rsid w:val="00627BBC"/>
    <w:rsid w:val="00627CBB"/>
    <w:rsid w:val="00627DBC"/>
    <w:rsid w:val="00627F3F"/>
    <w:rsid w:val="00630135"/>
    <w:rsid w:val="006304AA"/>
    <w:rsid w:val="0063055F"/>
    <w:rsid w:val="006305C4"/>
    <w:rsid w:val="006305FC"/>
    <w:rsid w:val="00630666"/>
    <w:rsid w:val="0063066D"/>
    <w:rsid w:val="006307DF"/>
    <w:rsid w:val="006308FA"/>
    <w:rsid w:val="00630DEA"/>
    <w:rsid w:val="00631024"/>
    <w:rsid w:val="006311F9"/>
    <w:rsid w:val="00631295"/>
    <w:rsid w:val="006313FF"/>
    <w:rsid w:val="00631604"/>
    <w:rsid w:val="00631713"/>
    <w:rsid w:val="0063177B"/>
    <w:rsid w:val="00631807"/>
    <w:rsid w:val="006319DA"/>
    <w:rsid w:val="00631D51"/>
    <w:rsid w:val="00631D73"/>
    <w:rsid w:val="00631EE2"/>
    <w:rsid w:val="00632000"/>
    <w:rsid w:val="00632009"/>
    <w:rsid w:val="00632241"/>
    <w:rsid w:val="006322D4"/>
    <w:rsid w:val="00632625"/>
    <w:rsid w:val="0063268D"/>
    <w:rsid w:val="006328DC"/>
    <w:rsid w:val="00632B63"/>
    <w:rsid w:val="00632CA5"/>
    <w:rsid w:val="00632E10"/>
    <w:rsid w:val="00632EE9"/>
    <w:rsid w:val="00632F1A"/>
    <w:rsid w:val="00632FD2"/>
    <w:rsid w:val="0063321A"/>
    <w:rsid w:val="0063360E"/>
    <w:rsid w:val="00633697"/>
    <w:rsid w:val="00633837"/>
    <w:rsid w:val="00633A9B"/>
    <w:rsid w:val="00633B89"/>
    <w:rsid w:val="00633DEE"/>
    <w:rsid w:val="00633E94"/>
    <w:rsid w:val="00633F3E"/>
    <w:rsid w:val="00633F42"/>
    <w:rsid w:val="00633FA1"/>
    <w:rsid w:val="0063403A"/>
    <w:rsid w:val="0063416C"/>
    <w:rsid w:val="0063430E"/>
    <w:rsid w:val="0063442A"/>
    <w:rsid w:val="006345DC"/>
    <w:rsid w:val="0063468E"/>
    <w:rsid w:val="006346D2"/>
    <w:rsid w:val="0063488E"/>
    <w:rsid w:val="00634AD9"/>
    <w:rsid w:val="00634BE9"/>
    <w:rsid w:val="00634CB9"/>
    <w:rsid w:val="00634E35"/>
    <w:rsid w:val="00634E4B"/>
    <w:rsid w:val="00635023"/>
    <w:rsid w:val="0063525A"/>
    <w:rsid w:val="0063536C"/>
    <w:rsid w:val="0063540B"/>
    <w:rsid w:val="0063545B"/>
    <w:rsid w:val="00635497"/>
    <w:rsid w:val="0063550B"/>
    <w:rsid w:val="006355F1"/>
    <w:rsid w:val="0063560D"/>
    <w:rsid w:val="00635ABA"/>
    <w:rsid w:val="00635D8F"/>
    <w:rsid w:val="00635EA1"/>
    <w:rsid w:val="00635FBC"/>
    <w:rsid w:val="0063691F"/>
    <w:rsid w:val="00636B6D"/>
    <w:rsid w:val="00636B75"/>
    <w:rsid w:val="00636DA6"/>
    <w:rsid w:val="00636F0B"/>
    <w:rsid w:val="00637281"/>
    <w:rsid w:val="00637437"/>
    <w:rsid w:val="00637584"/>
    <w:rsid w:val="00637851"/>
    <w:rsid w:val="00637ED3"/>
    <w:rsid w:val="00637F94"/>
    <w:rsid w:val="00637FF6"/>
    <w:rsid w:val="00640448"/>
    <w:rsid w:val="0064047E"/>
    <w:rsid w:val="006405FA"/>
    <w:rsid w:val="00640688"/>
    <w:rsid w:val="006406D2"/>
    <w:rsid w:val="006406E9"/>
    <w:rsid w:val="006409E7"/>
    <w:rsid w:val="00640D16"/>
    <w:rsid w:val="00640E40"/>
    <w:rsid w:val="006411D9"/>
    <w:rsid w:val="00641301"/>
    <w:rsid w:val="0064134F"/>
    <w:rsid w:val="0064145E"/>
    <w:rsid w:val="006414AD"/>
    <w:rsid w:val="006418A8"/>
    <w:rsid w:val="0064193B"/>
    <w:rsid w:val="00641AE4"/>
    <w:rsid w:val="00641E6F"/>
    <w:rsid w:val="00641FE2"/>
    <w:rsid w:val="00642040"/>
    <w:rsid w:val="00642397"/>
    <w:rsid w:val="006424A5"/>
    <w:rsid w:val="006424E1"/>
    <w:rsid w:val="00642537"/>
    <w:rsid w:val="006426DF"/>
    <w:rsid w:val="006427C1"/>
    <w:rsid w:val="006429BF"/>
    <w:rsid w:val="00642AD0"/>
    <w:rsid w:val="00642BE0"/>
    <w:rsid w:val="00642C04"/>
    <w:rsid w:val="00642E34"/>
    <w:rsid w:val="00642EBF"/>
    <w:rsid w:val="00642ED4"/>
    <w:rsid w:val="00642EE9"/>
    <w:rsid w:val="00642FAC"/>
    <w:rsid w:val="0064313D"/>
    <w:rsid w:val="00643357"/>
    <w:rsid w:val="0064337A"/>
    <w:rsid w:val="00643426"/>
    <w:rsid w:val="00643468"/>
    <w:rsid w:val="006434D7"/>
    <w:rsid w:val="00643CE0"/>
    <w:rsid w:val="00643D74"/>
    <w:rsid w:val="00643ED4"/>
    <w:rsid w:val="00644078"/>
    <w:rsid w:val="00644256"/>
    <w:rsid w:val="006442A6"/>
    <w:rsid w:val="0064449D"/>
    <w:rsid w:val="00644646"/>
    <w:rsid w:val="0064474E"/>
    <w:rsid w:val="0064477A"/>
    <w:rsid w:val="00644880"/>
    <w:rsid w:val="00644935"/>
    <w:rsid w:val="00644989"/>
    <w:rsid w:val="00644AD0"/>
    <w:rsid w:val="00644AFE"/>
    <w:rsid w:val="00644B75"/>
    <w:rsid w:val="00644BEE"/>
    <w:rsid w:val="00644C5B"/>
    <w:rsid w:val="00644CD8"/>
    <w:rsid w:val="00644D90"/>
    <w:rsid w:val="00644DB3"/>
    <w:rsid w:val="0064513B"/>
    <w:rsid w:val="00645243"/>
    <w:rsid w:val="006452BC"/>
    <w:rsid w:val="006457F0"/>
    <w:rsid w:val="0064582D"/>
    <w:rsid w:val="00645967"/>
    <w:rsid w:val="006459F6"/>
    <w:rsid w:val="00645A6D"/>
    <w:rsid w:val="00645B22"/>
    <w:rsid w:val="00645B71"/>
    <w:rsid w:val="00645C3B"/>
    <w:rsid w:val="00645C86"/>
    <w:rsid w:val="00645D0B"/>
    <w:rsid w:val="00645D10"/>
    <w:rsid w:val="00645D7C"/>
    <w:rsid w:val="006463A5"/>
    <w:rsid w:val="00646425"/>
    <w:rsid w:val="00646558"/>
    <w:rsid w:val="006469D7"/>
    <w:rsid w:val="006470F0"/>
    <w:rsid w:val="006471B4"/>
    <w:rsid w:val="006471D6"/>
    <w:rsid w:val="006471E2"/>
    <w:rsid w:val="006474AA"/>
    <w:rsid w:val="0064770E"/>
    <w:rsid w:val="00647770"/>
    <w:rsid w:val="00647ABE"/>
    <w:rsid w:val="00647D63"/>
    <w:rsid w:val="00647E57"/>
    <w:rsid w:val="0065007C"/>
    <w:rsid w:val="006500A4"/>
    <w:rsid w:val="00650251"/>
    <w:rsid w:val="00650474"/>
    <w:rsid w:val="006504C1"/>
    <w:rsid w:val="00650569"/>
    <w:rsid w:val="006505C9"/>
    <w:rsid w:val="006507FA"/>
    <w:rsid w:val="00650B16"/>
    <w:rsid w:val="00650B31"/>
    <w:rsid w:val="00650CDB"/>
    <w:rsid w:val="00650D4D"/>
    <w:rsid w:val="00650D53"/>
    <w:rsid w:val="00650D78"/>
    <w:rsid w:val="00650F12"/>
    <w:rsid w:val="00650F9F"/>
    <w:rsid w:val="00651163"/>
    <w:rsid w:val="006511F2"/>
    <w:rsid w:val="006512E5"/>
    <w:rsid w:val="00651427"/>
    <w:rsid w:val="0065142E"/>
    <w:rsid w:val="00651640"/>
    <w:rsid w:val="00651802"/>
    <w:rsid w:val="006518ED"/>
    <w:rsid w:val="00651EA9"/>
    <w:rsid w:val="00651FBE"/>
    <w:rsid w:val="00652120"/>
    <w:rsid w:val="006521FA"/>
    <w:rsid w:val="00652226"/>
    <w:rsid w:val="006523ED"/>
    <w:rsid w:val="00652417"/>
    <w:rsid w:val="006524D0"/>
    <w:rsid w:val="006526F8"/>
    <w:rsid w:val="0065289E"/>
    <w:rsid w:val="00652C01"/>
    <w:rsid w:val="00652CA7"/>
    <w:rsid w:val="00652E65"/>
    <w:rsid w:val="006530F5"/>
    <w:rsid w:val="0065319E"/>
    <w:rsid w:val="00653646"/>
    <w:rsid w:val="00653686"/>
    <w:rsid w:val="0065370E"/>
    <w:rsid w:val="006539DF"/>
    <w:rsid w:val="00653DB0"/>
    <w:rsid w:val="00653DD9"/>
    <w:rsid w:val="00654183"/>
    <w:rsid w:val="00654390"/>
    <w:rsid w:val="006544FC"/>
    <w:rsid w:val="006545E3"/>
    <w:rsid w:val="00654648"/>
    <w:rsid w:val="0065465A"/>
    <w:rsid w:val="00654675"/>
    <w:rsid w:val="00654757"/>
    <w:rsid w:val="0065479A"/>
    <w:rsid w:val="0065488E"/>
    <w:rsid w:val="00654A1D"/>
    <w:rsid w:val="00654A2B"/>
    <w:rsid w:val="00654D0B"/>
    <w:rsid w:val="00654EC2"/>
    <w:rsid w:val="00654EC4"/>
    <w:rsid w:val="00654F2D"/>
    <w:rsid w:val="006550F3"/>
    <w:rsid w:val="00655108"/>
    <w:rsid w:val="00655122"/>
    <w:rsid w:val="006551A7"/>
    <w:rsid w:val="006552EA"/>
    <w:rsid w:val="00655587"/>
    <w:rsid w:val="0065586D"/>
    <w:rsid w:val="006558D8"/>
    <w:rsid w:val="00655B70"/>
    <w:rsid w:val="00655CB4"/>
    <w:rsid w:val="00655D8E"/>
    <w:rsid w:val="00655DA2"/>
    <w:rsid w:val="006560B9"/>
    <w:rsid w:val="0065612C"/>
    <w:rsid w:val="006561D7"/>
    <w:rsid w:val="00656578"/>
    <w:rsid w:val="006565F0"/>
    <w:rsid w:val="0065663F"/>
    <w:rsid w:val="00656832"/>
    <w:rsid w:val="00656857"/>
    <w:rsid w:val="00656CAD"/>
    <w:rsid w:val="00657116"/>
    <w:rsid w:val="006573DB"/>
    <w:rsid w:val="006573FF"/>
    <w:rsid w:val="0065773E"/>
    <w:rsid w:val="006577FD"/>
    <w:rsid w:val="006578A0"/>
    <w:rsid w:val="00657A31"/>
    <w:rsid w:val="00657A84"/>
    <w:rsid w:val="00657A86"/>
    <w:rsid w:val="00657BB9"/>
    <w:rsid w:val="00657F22"/>
    <w:rsid w:val="00657F4D"/>
    <w:rsid w:val="006600D8"/>
    <w:rsid w:val="006601C1"/>
    <w:rsid w:val="0066025E"/>
    <w:rsid w:val="006602A1"/>
    <w:rsid w:val="006602E8"/>
    <w:rsid w:val="0066048E"/>
    <w:rsid w:val="00660511"/>
    <w:rsid w:val="00660560"/>
    <w:rsid w:val="006606FA"/>
    <w:rsid w:val="006608E8"/>
    <w:rsid w:val="0066097D"/>
    <w:rsid w:val="006609AA"/>
    <w:rsid w:val="00660B3A"/>
    <w:rsid w:val="00660CB9"/>
    <w:rsid w:val="00660F19"/>
    <w:rsid w:val="0066164F"/>
    <w:rsid w:val="00661696"/>
    <w:rsid w:val="00661723"/>
    <w:rsid w:val="006618A2"/>
    <w:rsid w:val="00661901"/>
    <w:rsid w:val="00661A3A"/>
    <w:rsid w:val="0066208D"/>
    <w:rsid w:val="006620F3"/>
    <w:rsid w:val="00662213"/>
    <w:rsid w:val="006622AD"/>
    <w:rsid w:val="00662448"/>
    <w:rsid w:val="00662527"/>
    <w:rsid w:val="0066265E"/>
    <w:rsid w:val="0066295D"/>
    <w:rsid w:val="00662A0C"/>
    <w:rsid w:val="00662ABD"/>
    <w:rsid w:val="00662E72"/>
    <w:rsid w:val="00662E97"/>
    <w:rsid w:val="00663047"/>
    <w:rsid w:val="006631C6"/>
    <w:rsid w:val="006632CB"/>
    <w:rsid w:val="00663423"/>
    <w:rsid w:val="00663756"/>
    <w:rsid w:val="006637BE"/>
    <w:rsid w:val="00663827"/>
    <w:rsid w:val="00663A21"/>
    <w:rsid w:val="00663C6B"/>
    <w:rsid w:val="00663C81"/>
    <w:rsid w:val="006640BF"/>
    <w:rsid w:val="006640C7"/>
    <w:rsid w:val="006641E5"/>
    <w:rsid w:val="00664304"/>
    <w:rsid w:val="00664407"/>
    <w:rsid w:val="006644D5"/>
    <w:rsid w:val="006646BB"/>
    <w:rsid w:val="00664716"/>
    <w:rsid w:val="00664988"/>
    <w:rsid w:val="00664BE8"/>
    <w:rsid w:val="00664C98"/>
    <w:rsid w:val="00664E4E"/>
    <w:rsid w:val="00664FB1"/>
    <w:rsid w:val="0066509B"/>
    <w:rsid w:val="00665358"/>
    <w:rsid w:val="00665388"/>
    <w:rsid w:val="006654DC"/>
    <w:rsid w:val="0066551F"/>
    <w:rsid w:val="00665738"/>
    <w:rsid w:val="00665A95"/>
    <w:rsid w:val="00665AA4"/>
    <w:rsid w:val="00665B73"/>
    <w:rsid w:val="00665C4D"/>
    <w:rsid w:val="00665D3C"/>
    <w:rsid w:val="00666000"/>
    <w:rsid w:val="00666086"/>
    <w:rsid w:val="006661A7"/>
    <w:rsid w:val="00666520"/>
    <w:rsid w:val="00666888"/>
    <w:rsid w:val="0066718C"/>
    <w:rsid w:val="006673F3"/>
    <w:rsid w:val="006679EC"/>
    <w:rsid w:val="00667B68"/>
    <w:rsid w:val="00667D64"/>
    <w:rsid w:val="00670002"/>
    <w:rsid w:val="006701DD"/>
    <w:rsid w:val="006703E9"/>
    <w:rsid w:val="006706E4"/>
    <w:rsid w:val="006707CB"/>
    <w:rsid w:val="00670980"/>
    <w:rsid w:val="00670C40"/>
    <w:rsid w:val="00670D50"/>
    <w:rsid w:val="00671029"/>
    <w:rsid w:val="006712C1"/>
    <w:rsid w:val="0067137C"/>
    <w:rsid w:val="006714EF"/>
    <w:rsid w:val="0067165A"/>
    <w:rsid w:val="006716FF"/>
    <w:rsid w:val="00671793"/>
    <w:rsid w:val="00671890"/>
    <w:rsid w:val="006719E0"/>
    <w:rsid w:val="00671A21"/>
    <w:rsid w:val="00671A4D"/>
    <w:rsid w:val="00671BA6"/>
    <w:rsid w:val="00671BAE"/>
    <w:rsid w:val="00671C0E"/>
    <w:rsid w:val="0067208F"/>
    <w:rsid w:val="006720D9"/>
    <w:rsid w:val="0067217C"/>
    <w:rsid w:val="00672233"/>
    <w:rsid w:val="00672267"/>
    <w:rsid w:val="0067227D"/>
    <w:rsid w:val="0067253B"/>
    <w:rsid w:val="00672558"/>
    <w:rsid w:val="006725A9"/>
    <w:rsid w:val="00672796"/>
    <w:rsid w:val="00672930"/>
    <w:rsid w:val="00672C10"/>
    <w:rsid w:val="00672C42"/>
    <w:rsid w:val="00672C50"/>
    <w:rsid w:val="00672D6B"/>
    <w:rsid w:val="00672DBD"/>
    <w:rsid w:val="0067303F"/>
    <w:rsid w:val="0067305F"/>
    <w:rsid w:val="00673594"/>
    <w:rsid w:val="0067365F"/>
    <w:rsid w:val="0067394E"/>
    <w:rsid w:val="0067438D"/>
    <w:rsid w:val="0067449A"/>
    <w:rsid w:val="006745B6"/>
    <w:rsid w:val="006746CF"/>
    <w:rsid w:val="006747D6"/>
    <w:rsid w:val="00674858"/>
    <w:rsid w:val="00674A37"/>
    <w:rsid w:val="00674B9B"/>
    <w:rsid w:val="00674CE9"/>
    <w:rsid w:val="00674D17"/>
    <w:rsid w:val="00675028"/>
    <w:rsid w:val="00675145"/>
    <w:rsid w:val="00675376"/>
    <w:rsid w:val="006753D1"/>
    <w:rsid w:val="006756C3"/>
    <w:rsid w:val="0067578A"/>
    <w:rsid w:val="00675976"/>
    <w:rsid w:val="00675B70"/>
    <w:rsid w:val="00675B75"/>
    <w:rsid w:val="00675BC4"/>
    <w:rsid w:val="00675BDC"/>
    <w:rsid w:val="00675DA4"/>
    <w:rsid w:val="00676016"/>
    <w:rsid w:val="006760ED"/>
    <w:rsid w:val="00676234"/>
    <w:rsid w:val="00676375"/>
    <w:rsid w:val="00676428"/>
    <w:rsid w:val="0067649C"/>
    <w:rsid w:val="0067651D"/>
    <w:rsid w:val="00676593"/>
    <w:rsid w:val="00676D52"/>
    <w:rsid w:val="00676E5C"/>
    <w:rsid w:val="00676EA2"/>
    <w:rsid w:val="00676FB6"/>
    <w:rsid w:val="0067729F"/>
    <w:rsid w:val="00677324"/>
    <w:rsid w:val="006774FF"/>
    <w:rsid w:val="006775CC"/>
    <w:rsid w:val="00677AEB"/>
    <w:rsid w:val="00677B0B"/>
    <w:rsid w:val="00677CB5"/>
    <w:rsid w:val="00677FF3"/>
    <w:rsid w:val="00680404"/>
    <w:rsid w:val="006804A3"/>
    <w:rsid w:val="00680510"/>
    <w:rsid w:val="00680845"/>
    <w:rsid w:val="00680DE5"/>
    <w:rsid w:val="00680F37"/>
    <w:rsid w:val="00680F76"/>
    <w:rsid w:val="00681094"/>
    <w:rsid w:val="00681294"/>
    <w:rsid w:val="00681341"/>
    <w:rsid w:val="0068137C"/>
    <w:rsid w:val="00681397"/>
    <w:rsid w:val="006813B4"/>
    <w:rsid w:val="006814B8"/>
    <w:rsid w:val="0068151C"/>
    <w:rsid w:val="00681676"/>
    <w:rsid w:val="00681739"/>
    <w:rsid w:val="00681740"/>
    <w:rsid w:val="00681869"/>
    <w:rsid w:val="00681B8D"/>
    <w:rsid w:val="00681E19"/>
    <w:rsid w:val="00681E2E"/>
    <w:rsid w:val="00681E86"/>
    <w:rsid w:val="00681F2E"/>
    <w:rsid w:val="00681FE2"/>
    <w:rsid w:val="00682024"/>
    <w:rsid w:val="006820B5"/>
    <w:rsid w:val="00682498"/>
    <w:rsid w:val="006824A2"/>
    <w:rsid w:val="00682584"/>
    <w:rsid w:val="006825C5"/>
    <w:rsid w:val="00682623"/>
    <w:rsid w:val="006826F0"/>
    <w:rsid w:val="00682A00"/>
    <w:rsid w:val="00682A3C"/>
    <w:rsid w:val="00682C78"/>
    <w:rsid w:val="00682EC3"/>
    <w:rsid w:val="00682EED"/>
    <w:rsid w:val="00682F1F"/>
    <w:rsid w:val="00683004"/>
    <w:rsid w:val="006831D5"/>
    <w:rsid w:val="00683338"/>
    <w:rsid w:val="00683366"/>
    <w:rsid w:val="00683388"/>
    <w:rsid w:val="00683441"/>
    <w:rsid w:val="006835DB"/>
    <w:rsid w:val="00683821"/>
    <w:rsid w:val="006838D7"/>
    <w:rsid w:val="00683AEB"/>
    <w:rsid w:val="00683C15"/>
    <w:rsid w:val="00683C79"/>
    <w:rsid w:val="00683E2C"/>
    <w:rsid w:val="00683E5D"/>
    <w:rsid w:val="0068461F"/>
    <w:rsid w:val="00684769"/>
    <w:rsid w:val="006848C0"/>
    <w:rsid w:val="006849F3"/>
    <w:rsid w:val="0068507A"/>
    <w:rsid w:val="0068512A"/>
    <w:rsid w:val="00685150"/>
    <w:rsid w:val="006851C6"/>
    <w:rsid w:val="0068523B"/>
    <w:rsid w:val="006853FB"/>
    <w:rsid w:val="006858B3"/>
    <w:rsid w:val="00685A5C"/>
    <w:rsid w:val="00685DA5"/>
    <w:rsid w:val="00685E35"/>
    <w:rsid w:val="00685FA6"/>
    <w:rsid w:val="00686029"/>
    <w:rsid w:val="006860A9"/>
    <w:rsid w:val="0068631C"/>
    <w:rsid w:val="0068655C"/>
    <w:rsid w:val="006865BB"/>
    <w:rsid w:val="00686675"/>
    <w:rsid w:val="0068669F"/>
    <w:rsid w:val="0068686C"/>
    <w:rsid w:val="0068693E"/>
    <w:rsid w:val="00686B44"/>
    <w:rsid w:val="00686C57"/>
    <w:rsid w:val="006870A0"/>
    <w:rsid w:val="0068768C"/>
    <w:rsid w:val="006879C8"/>
    <w:rsid w:val="00687D4D"/>
    <w:rsid w:val="00687E04"/>
    <w:rsid w:val="00687E28"/>
    <w:rsid w:val="00687F3D"/>
    <w:rsid w:val="00687F65"/>
    <w:rsid w:val="00687F73"/>
    <w:rsid w:val="0069031E"/>
    <w:rsid w:val="006905D5"/>
    <w:rsid w:val="006906B2"/>
    <w:rsid w:val="006906E6"/>
    <w:rsid w:val="006907F8"/>
    <w:rsid w:val="006909F0"/>
    <w:rsid w:val="00690CBF"/>
    <w:rsid w:val="00690D4B"/>
    <w:rsid w:val="00690F36"/>
    <w:rsid w:val="00690F6F"/>
    <w:rsid w:val="00690FC2"/>
    <w:rsid w:val="0069118D"/>
    <w:rsid w:val="00691202"/>
    <w:rsid w:val="0069134E"/>
    <w:rsid w:val="0069140E"/>
    <w:rsid w:val="0069156B"/>
    <w:rsid w:val="006915F6"/>
    <w:rsid w:val="006919E2"/>
    <w:rsid w:val="00691D5F"/>
    <w:rsid w:val="00691F9D"/>
    <w:rsid w:val="00691FC8"/>
    <w:rsid w:val="00692312"/>
    <w:rsid w:val="006923DD"/>
    <w:rsid w:val="006927AC"/>
    <w:rsid w:val="006929A9"/>
    <w:rsid w:val="00692B4B"/>
    <w:rsid w:val="00692DE6"/>
    <w:rsid w:val="00692E43"/>
    <w:rsid w:val="00692E6A"/>
    <w:rsid w:val="00692FA1"/>
    <w:rsid w:val="00693404"/>
    <w:rsid w:val="0069346A"/>
    <w:rsid w:val="00693878"/>
    <w:rsid w:val="006938F7"/>
    <w:rsid w:val="00693BA6"/>
    <w:rsid w:val="00693BA7"/>
    <w:rsid w:val="00693D92"/>
    <w:rsid w:val="00693DCA"/>
    <w:rsid w:val="0069407D"/>
    <w:rsid w:val="0069410B"/>
    <w:rsid w:val="006941CA"/>
    <w:rsid w:val="00694458"/>
    <w:rsid w:val="00694477"/>
    <w:rsid w:val="006946C6"/>
    <w:rsid w:val="00694738"/>
    <w:rsid w:val="0069478E"/>
    <w:rsid w:val="00694888"/>
    <w:rsid w:val="00694CAE"/>
    <w:rsid w:val="006950AA"/>
    <w:rsid w:val="006952B5"/>
    <w:rsid w:val="006953B8"/>
    <w:rsid w:val="00695498"/>
    <w:rsid w:val="00695ACE"/>
    <w:rsid w:val="00695D3D"/>
    <w:rsid w:val="00695D7B"/>
    <w:rsid w:val="00695D89"/>
    <w:rsid w:val="00695D8A"/>
    <w:rsid w:val="00695EDD"/>
    <w:rsid w:val="00696407"/>
    <w:rsid w:val="00696472"/>
    <w:rsid w:val="00696525"/>
    <w:rsid w:val="0069664B"/>
    <w:rsid w:val="0069677E"/>
    <w:rsid w:val="00696831"/>
    <w:rsid w:val="00696C2B"/>
    <w:rsid w:val="00696CF1"/>
    <w:rsid w:val="00697008"/>
    <w:rsid w:val="006971BE"/>
    <w:rsid w:val="006972B1"/>
    <w:rsid w:val="006974B7"/>
    <w:rsid w:val="006975B0"/>
    <w:rsid w:val="006975CB"/>
    <w:rsid w:val="006975EC"/>
    <w:rsid w:val="00697764"/>
    <w:rsid w:val="00697963"/>
    <w:rsid w:val="00697BD9"/>
    <w:rsid w:val="00697FA9"/>
    <w:rsid w:val="006A02DC"/>
    <w:rsid w:val="006A084E"/>
    <w:rsid w:val="006A0882"/>
    <w:rsid w:val="006A0962"/>
    <w:rsid w:val="006A0AB3"/>
    <w:rsid w:val="006A0B64"/>
    <w:rsid w:val="006A0C3F"/>
    <w:rsid w:val="006A0C6D"/>
    <w:rsid w:val="006A0C81"/>
    <w:rsid w:val="006A0E4A"/>
    <w:rsid w:val="006A0EE9"/>
    <w:rsid w:val="006A1482"/>
    <w:rsid w:val="006A1494"/>
    <w:rsid w:val="006A14B2"/>
    <w:rsid w:val="006A16E4"/>
    <w:rsid w:val="006A1A12"/>
    <w:rsid w:val="006A1BA2"/>
    <w:rsid w:val="006A1CCF"/>
    <w:rsid w:val="006A1F5D"/>
    <w:rsid w:val="006A2250"/>
    <w:rsid w:val="006A251D"/>
    <w:rsid w:val="006A25C1"/>
    <w:rsid w:val="006A2698"/>
    <w:rsid w:val="006A289E"/>
    <w:rsid w:val="006A29BB"/>
    <w:rsid w:val="006A2AB1"/>
    <w:rsid w:val="006A2C21"/>
    <w:rsid w:val="006A2FD1"/>
    <w:rsid w:val="006A3213"/>
    <w:rsid w:val="006A33F5"/>
    <w:rsid w:val="006A35F2"/>
    <w:rsid w:val="006A379B"/>
    <w:rsid w:val="006A3A1C"/>
    <w:rsid w:val="006A3C66"/>
    <w:rsid w:val="006A3E47"/>
    <w:rsid w:val="006A3E9C"/>
    <w:rsid w:val="006A3F0A"/>
    <w:rsid w:val="006A427E"/>
    <w:rsid w:val="006A42E0"/>
    <w:rsid w:val="006A42F5"/>
    <w:rsid w:val="006A440E"/>
    <w:rsid w:val="006A46F1"/>
    <w:rsid w:val="006A4787"/>
    <w:rsid w:val="006A4B1A"/>
    <w:rsid w:val="006A4BBF"/>
    <w:rsid w:val="006A4CF4"/>
    <w:rsid w:val="006A4E7C"/>
    <w:rsid w:val="006A52B0"/>
    <w:rsid w:val="006A53EB"/>
    <w:rsid w:val="006A55C4"/>
    <w:rsid w:val="006A5785"/>
    <w:rsid w:val="006A58F7"/>
    <w:rsid w:val="006A58F9"/>
    <w:rsid w:val="006A590B"/>
    <w:rsid w:val="006A5AE1"/>
    <w:rsid w:val="006A5B10"/>
    <w:rsid w:val="006A5E0B"/>
    <w:rsid w:val="006A6071"/>
    <w:rsid w:val="006A6338"/>
    <w:rsid w:val="006A6397"/>
    <w:rsid w:val="006A640A"/>
    <w:rsid w:val="006A648D"/>
    <w:rsid w:val="006A6689"/>
    <w:rsid w:val="006A67BE"/>
    <w:rsid w:val="006A67CA"/>
    <w:rsid w:val="006A68F1"/>
    <w:rsid w:val="006A6B27"/>
    <w:rsid w:val="006A6B72"/>
    <w:rsid w:val="006A6CF3"/>
    <w:rsid w:val="006A6D59"/>
    <w:rsid w:val="006A6FE1"/>
    <w:rsid w:val="006A6FF3"/>
    <w:rsid w:val="006A70A9"/>
    <w:rsid w:val="006A713B"/>
    <w:rsid w:val="006A71CC"/>
    <w:rsid w:val="006A73D8"/>
    <w:rsid w:val="006A7489"/>
    <w:rsid w:val="006A7512"/>
    <w:rsid w:val="006A756A"/>
    <w:rsid w:val="006A7827"/>
    <w:rsid w:val="006A7C03"/>
    <w:rsid w:val="006A7FF8"/>
    <w:rsid w:val="006B0051"/>
    <w:rsid w:val="006B00A1"/>
    <w:rsid w:val="006B010B"/>
    <w:rsid w:val="006B0128"/>
    <w:rsid w:val="006B0163"/>
    <w:rsid w:val="006B0209"/>
    <w:rsid w:val="006B0244"/>
    <w:rsid w:val="006B0500"/>
    <w:rsid w:val="006B077B"/>
    <w:rsid w:val="006B08BC"/>
    <w:rsid w:val="006B0DE2"/>
    <w:rsid w:val="006B1211"/>
    <w:rsid w:val="006B1392"/>
    <w:rsid w:val="006B14A7"/>
    <w:rsid w:val="006B157F"/>
    <w:rsid w:val="006B17C2"/>
    <w:rsid w:val="006B17FE"/>
    <w:rsid w:val="006B18A8"/>
    <w:rsid w:val="006B19EF"/>
    <w:rsid w:val="006B1B44"/>
    <w:rsid w:val="006B1BCD"/>
    <w:rsid w:val="006B1D37"/>
    <w:rsid w:val="006B1D4C"/>
    <w:rsid w:val="006B1DA9"/>
    <w:rsid w:val="006B2086"/>
    <w:rsid w:val="006B21AD"/>
    <w:rsid w:val="006B2214"/>
    <w:rsid w:val="006B257F"/>
    <w:rsid w:val="006B28E5"/>
    <w:rsid w:val="006B28E9"/>
    <w:rsid w:val="006B292E"/>
    <w:rsid w:val="006B294F"/>
    <w:rsid w:val="006B2988"/>
    <w:rsid w:val="006B29EC"/>
    <w:rsid w:val="006B2A46"/>
    <w:rsid w:val="006B2E7F"/>
    <w:rsid w:val="006B3083"/>
    <w:rsid w:val="006B31E4"/>
    <w:rsid w:val="006B3379"/>
    <w:rsid w:val="006B3463"/>
    <w:rsid w:val="006B34B8"/>
    <w:rsid w:val="006B36A5"/>
    <w:rsid w:val="006B392F"/>
    <w:rsid w:val="006B3A6F"/>
    <w:rsid w:val="006B3A8C"/>
    <w:rsid w:val="006B3B96"/>
    <w:rsid w:val="006B3C8C"/>
    <w:rsid w:val="006B3D94"/>
    <w:rsid w:val="006B3F1A"/>
    <w:rsid w:val="006B42AF"/>
    <w:rsid w:val="006B433F"/>
    <w:rsid w:val="006B4391"/>
    <w:rsid w:val="006B45B6"/>
    <w:rsid w:val="006B4620"/>
    <w:rsid w:val="006B4A25"/>
    <w:rsid w:val="006B4B9E"/>
    <w:rsid w:val="006B4CF2"/>
    <w:rsid w:val="006B4D50"/>
    <w:rsid w:val="006B4E84"/>
    <w:rsid w:val="006B5129"/>
    <w:rsid w:val="006B52D2"/>
    <w:rsid w:val="006B5971"/>
    <w:rsid w:val="006B5B94"/>
    <w:rsid w:val="006B5C68"/>
    <w:rsid w:val="006B5C6E"/>
    <w:rsid w:val="006B5D38"/>
    <w:rsid w:val="006B5DD1"/>
    <w:rsid w:val="006B5E0B"/>
    <w:rsid w:val="006B5E8B"/>
    <w:rsid w:val="006B5ED4"/>
    <w:rsid w:val="006B60F7"/>
    <w:rsid w:val="006B6164"/>
    <w:rsid w:val="006B629E"/>
    <w:rsid w:val="006B6333"/>
    <w:rsid w:val="006B6469"/>
    <w:rsid w:val="006B6773"/>
    <w:rsid w:val="006B69E4"/>
    <w:rsid w:val="006B6FCC"/>
    <w:rsid w:val="006B702F"/>
    <w:rsid w:val="006B729D"/>
    <w:rsid w:val="006B740D"/>
    <w:rsid w:val="006B7778"/>
    <w:rsid w:val="006B7838"/>
    <w:rsid w:val="006B79BF"/>
    <w:rsid w:val="006B79FB"/>
    <w:rsid w:val="006B7A25"/>
    <w:rsid w:val="006B7AB7"/>
    <w:rsid w:val="006B7C01"/>
    <w:rsid w:val="006B7D07"/>
    <w:rsid w:val="006C0192"/>
    <w:rsid w:val="006C030E"/>
    <w:rsid w:val="006C03C9"/>
    <w:rsid w:val="006C0537"/>
    <w:rsid w:val="006C0786"/>
    <w:rsid w:val="006C0854"/>
    <w:rsid w:val="006C086A"/>
    <w:rsid w:val="006C0AF2"/>
    <w:rsid w:val="006C0F84"/>
    <w:rsid w:val="006C12DF"/>
    <w:rsid w:val="006C1607"/>
    <w:rsid w:val="006C161F"/>
    <w:rsid w:val="006C197D"/>
    <w:rsid w:val="006C1CF3"/>
    <w:rsid w:val="006C1E6E"/>
    <w:rsid w:val="006C1E9C"/>
    <w:rsid w:val="006C1F35"/>
    <w:rsid w:val="006C1F47"/>
    <w:rsid w:val="006C1FC1"/>
    <w:rsid w:val="006C2567"/>
    <w:rsid w:val="006C2773"/>
    <w:rsid w:val="006C2840"/>
    <w:rsid w:val="006C28B3"/>
    <w:rsid w:val="006C28CA"/>
    <w:rsid w:val="006C294F"/>
    <w:rsid w:val="006C29EE"/>
    <w:rsid w:val="006C2A3F"/>
    <w:rsid w:val="006C2A4F"/>
    <w:rsid w:val="006C2C9E"/>
    <w:rsid w:val="006C2FD9"/>
    <w:rsid w:val="006C34B9"/>
    <w:rsid w:val="006C34F7"/>
    <w:rsid w:val="006C3610"/>
    <w:rsid w:val="006C375B"/>
    <w:rsid w:val="006C3A3B"/>
    <w:rsid w:val="006C3DE7"/>
    <w:rsid w:val="006C3F91"/>
    <w:rsid w:val="006C40E7"/>
    <w:rsid w:val="006C423F"/>
    <w:rsid w:val="006C4341"/>
    <w:rsid w:val="006C4509"/>
    <w:rsid w:val="006C4554"/>
    <w:rsid w:val="006C4587"/>
    <w:rsid w:val="006C46C8"/>
    <w:rsid w:val="006C47BD"/>
    <w:rsid w:val="006C4BAF"/>
    <w:rsid w:val="006C4BD6"/>
    <w:rsid w:val="006C4C43"/>
    <w:rsid w:val="006C5082"/>
    <w:rsid w:val="006C5249"/>
    <w:rsid w:val="006C5327"/>
    <w:rsid w:val="006C53E8"/>
    <w:rsid w:val="006C54ED"/>
    <w:rsid w:val="006C581B"/>
    <w:rsid w:val="006C58D1"/>
    <w:rsid w:val="006C5AAF"/>
    <w:rsid w:val="006C5B01"/>
    <w:rsid w:val="006C5C7C"/>
    <w:rsid w:val="006C5C94"/>
    <w:rsid w:val="006C5EAD"/>
    <w:rsid w:val="006C6074"/>
    <w:rsid w:val="006C665D"/>
    <w:rsid w:val="006C66C6"/>
    <w:rsid w:val="006C68FE"/>
    <w:rsid w:val="006C6A9D"/>
    <w:rsid w:val="006C6B35"/>
    <w:rsid w:val="006C6EB5"/>
    <w:rsid w:val="006C6F00"/>
    <w:rsid w:val="006C6FA7"/>
    <w:rsid w:val="006C70D7"/>
    <w:rsid w:val="006C7142"/>
    <w:rsid w:val="006C7448"/>
    <w:rsid w:val="006C744A"/>
    <w:rsid w:val="006C7676"/>
    <w:rsid w:val="006C7787"/>
    <w:rsid w:val="006C7BE4"/>
    <w:rsid w:val="006C7C32"/>
    <w:rsid w:val="006C7D5E"/>
    <w:rsid w:val="006D0021"/>
    <w:rsid w:val="006D0129"/>
    <w:rsid w:val="006D0263"/>
    <w:rsid w:val="006D04EC"/>
    <w:rsid w:val="006D0600"/>
    <w:rsid w:val="006D07C4"/>
    <w:rsid w:val="006D0858"/>
    <w:rsid w:val="006D0A25"/>
    <w:rsid w:val="006D0A9D"/>
    <w:rsid w:val="006D0D57"/>
    <w:rsid w:val="006D0DCD"/>
    <w:rsid w:val="006D0E23"/>
    <w:rsid w:val="006D1245"/>
    <w:rsid w:val="006D12F5"/>
    <w:rsid w:val="006D13D6"/>
    <w:rsid w:val="006D17A0"/>
    <w:rsid w:val="006D1825"/>
    <w:rsid w:val="006D1830"/>
    <w:rsid w:val="006D1939"/>
    <w:rsid w:val="006D1AEC"/>
    <w:rsid w:val="006D1B9B"/>
    <w:rsid w:val="006D1C44"/>
    <w:rsid w:val="006D1DBD"/>
    <w:rsid w:val="006D1EBA"/>
    <w:rsid w:val="006D1EF6"/>
    <w:rsid w:val="006D20FC"/>
    <w:rsid w:val="006D2124"/>
    <w:rsid w:val="006D2163"/>
    <w:rsid w:val="006D2392"/>
    <w:rsid w:val="006D23F9"/>
    <w:rsid w:val="006D247D"/>
    <w:rsid w:val="006D25E0"/>
    <w:rsid w:val="006D2764"/>
    <w:rsid w:val="006D2A1C"/>
    <w:rsid w:val="006D2E8F"/>
    <w:rsid w:val="006D31F0"/>
    <w:rsid w:val="006D334C"/>
    <w:rsid w:val="006D372D"/>
    <w:rsid w:val="006D3836"/>
    <w:rsid w:val="006D3A47"/>
    <w:rsid w:val="006D3A54"/>
    <w:rsid w:val="006D3D52"/>
    <w:rsid w:val="006D3D83"/>
    <w:rsid w:val="006D3E31"/>
    <w:rsid w:val="006D3E6C"/>
    <w:rsid w:val="006D4039"/>
    <w:rsid w:val="006D4150"/>
    <w:rsid w:val="006D4611"/>
    <w:rsid w:val="006D46BD"/>
    <w:rsid w:val="006D4989"/>
    <w:rsid w:val="006D4BE2"/>
    <w:rsid w:val="006D4D81"/>
    <w:rsid w:val="006D4D85"/>
    <w:rsid w:val="006D5157"/>
    <w:rsid w:val="006D5347"/>
    <w:rsid w:val="006D554B"/>
    <w:rsid w:val="006D5566"/>
    <w:rsid w:val="006D57BA"/>
    <w:rsid w:val="006D59DE"/>
    <w:rsid w:val="006D5FDD"/>
    <w:rsid w:val="006D62E7"/>
    <w:rsid w:val="006D6560"/>
    <w:rsid w:val="006D66C3"/>
    <w:rsid w:val="006D6819"/>
    <w:rsid w:val="006D6D72"/>
    <w:rsid w:val="006D7007"/>
    <w:rsid w:val="006D70FF"/>
    <w:rsid w:val="006D73D1"/>
    <w:rsid w:val="006D7604"/>
    <w:rsid w:val="006D7671"/>
    <w:rsid w:val="006D77CB"/>
    <w:rsid w:val="006D7B34"/>
    <w:rsid w:val="006D7B8C"/>
    <w:rsid w:val="006D7BB2"/>
    <w:rsid w:val="006D7C0E"/>
    <w:rsid w:val="006D7C49"/>
    <w:rsid w:val="006D7C8D"/>
    <w:rsid w:val="006D7FC5"/>
    <w:rsid w:val="006E0041"/>
    <w:rsid w:val="006E0150"/>
    <w:rsid w:val="006E02A3"/>
    <w:rsid w:val="006E0692"/>
    <w:rsid w:val="006E078F"/>
    <w:rsid w:val="006E07D2"/>
    <w:rsid w:val="006E0888"/>
    <w:rsid w:val="006E0A4A"/>
    <w:rsid w:val="006E0B00"/>
    <w:rsid w:val="006E0BEF"/>
    <w:rsid w:val="006E0CA6"/>
    <w:rsid w:val="006E1017"/>
    <w:rsid w:val="006E1190"/>
    <w:rsid w:val="006E125E"/>
    <w:rsid w:val="006E13D4"/>
    <w:rsid w:val="006E1628"/>
    <w:rsid w:val="006E1796"/>
    <w:rsid w:val="006E1877"/>
    <w:rsid w:val="006E195B"/>
    <w:rsid w:val="006E1B25"/>
    <w:rsid w:val="006E1D09"/>
    <w:rsid w:val="006E1F85"/>
    <w:rsid w:val="006E2183"/>
    <w:rsid w:val="006E2509"/>
    <w:rsid w:val="006E25EB"/>
    <w:rsid w:val="006E2846"/>
    <w:rsid w:val="006E29D7"/>
    <w:rsid w:val="006E2A57"/>
    <w:rsid w:val="006E2D49"/>
    <w:rsid w:val="006E2F0B"/>
    <w:rsid w:val="006E2F70"/>
    <w:rsid w:val="006E2FE8"/>
    <w:rsid w:val="006E31EA"/>
    <w:rsid w:val="006E33F7"/>
    <w:rsid w:val="006E3567"/>
    <w:rsid w:val="006E358A"/>
    <w:rsid w:val="006E36BB"/>
    <w:rsid w:val="006E36CD"/>
    <w:rsid w:val="006E38F4"/>
    <w:rsid w:val="006E393A"/>
    <w:rsid w:val="006E39A0"/>
    <w:rsid w:val="006E3CEB"/>
    <w:rsid w:val="006E3DA9"/>
    <w:rsid w:val="006E3DCD"/>
    <w:rsid w:val="006E3ECA"/>
    <w:rsid w:val="006E4109"/>
    <w:rsid w:val="006E4281"/>
    <w:rsid w:val="006E42B4"/>
    <w:rsid w:val="006E4A13"/>
    <w:rsid w:val="006E4B08"/>
    <w:rsid w:val="006E4BE3"/>
    <w:rsid w:val="006E4EF8"/>
    <w:rsid w:val="006E512F"/>
    <w:rsid w:val="006E53F7"/>
    <w:rsid w:val="006E5798"/>
    <w:rsid w:val="006E59DE"/>
    <w:rsid w:val="006E59E3"/>
    <w:rsid w:val="006E5B27"/>
    <w:rsid w:val="006E5C2F"/>
    <w:rsid w:val="006E5C43"/>
    <w:rsid w:val="006E5C7E"/>
    <w:rsid w:val="006E5CA2"/>
    <w:rsid w:val="006E5EF6"/>
    <w:rsid w:val="006E5FE1"/>
    <w:rsid w:val="006E603A"/>
    <w:rsid w:val="006E605E"/>
    <w:rsid w:val="006E60C4"/>
    <w:rsid w:val="006E63A0"/>
    <w:rsid w:val="006E6476"/>
    <w:rsid w:val="006E65B0"/>
    <w:rsid w:val="006E65C5"/>
    <w:rsid w:val="006E6619"/>
    <w:rsid w:val="006E66EC"/>
    <w:rsid w:val="006E68B1"/>
    <w:rsid w:val="006E693E"/>
    <w:rsid w:val="006E6AA7"/>
    <w:rsid w:val="006E6AE5"/>
    <w:rsid w:val="006E6B0C"/>
    <w:rsid w:val="006E6C67"/>
    <w:rsid w:val="006E6D51"/>
    <w:rsid w:val="006E6E9D"/>
    <w:rsid w:val="006E7014"/>
    <w:rsid w:val="006E7092"/>
    <w:rsid w:val="006E70B0"/>
    <w:rsid w:val="006E719C"/>
    <w:rsid w:val="006E7251"/>
    <w:rsid w:val="006E7B21"/>
    <w:rsid w:val="006E7DDE"/>
    <w:rsid w:val="006E7DEB"/>
    <w:rsid w:val="006F0323"/>
    <w:rsid w:val="006F03D8"/>
    <w:rsid w:val="006F080F"/>
    <w:rsid w:val="006F08A3"/>
    <w:rsid w:val="006F09E7"/>
    <w:rsid w:val="006F0B14"/>
    <w:rsid w:val="006F0B1F"/>
    <w:rsid w:val="006F0C8A"/>
    <w:rsid w:val="006F0CAA"/>
    <w:rsid w:val="006F0EF2"/>
    <w:rsid w:val="006F0F82"/>
    <w:rsid w:val="006F0FA1"/>
    <w:rsid w:val="006F10E6"/>
    <w:rsid w:val="006F127D"/>
    <w:rsid w:val="006F13B8"/>
    <w:rsid w:val="006F1412"/>
    <w:rsid w:val="006F148F"/>
    <w:rsid w:val="006F14CC"/>
    <w:rsid w:val="006F14DE"/>
    <w:rsid w:val="006F164B"/>
    <w:rsid w:val="006F1764"/>
    <w:rsid w:val="006F18B0"/>
    <w:rsid w:val="006F1B28"/>
    <w:rsid w:val="006F1C63"/>
    <w:rsid w:val="006F2597"/>
    <w:rsid w:val="006F29B3"/>
    <w:rsid w:val="006F2D5D"/>
    <w:rsid w:val="006F2DFB"/>
    <w:rsid w:val="006F2FF9"/>
    <w:rsid w:val="006F3015"/>
    <w:rsid w:val="006F3184"/>
    <w:rsid w:val="006F319B"/>
    <w:rsid w:val="006F32BE"/>
    <w:rsid w:val="006F32F2"/>
    <w:rsid w:val="006F34B1"/>
    <w:rsid w:val="006F3504"/>
    <w:rsid w:val="006F3588"/>
    <w:rsid w:val="006F3603"/>
    <w:rsid w:val="006F3612"/>
    <w:rsid w:val="006F3702"/>
    <w:rsid w:val="006F38FD"/>
    <w:rsid w:val="006F396A"/>
    <w:rsid w:val="006F3DA8"/>
    <w:rsid w:val="006F3FA8"/>
    <w:rsid w:val="006F4147"/>
    <w:rsid w:val="006F425A"/>
    <w:rsid w:val="006F4478"/>
    <w:rsid w:val="006F44DD"/>
    <w:rsid w:val="006F46D5"/>
    <w:rsid w:val="006F47C0"/>
    <w:rsid w:val="006F48FD"/>
    <w:rsid w:val="006F4ABB"/>
    <w:rsid w:val="006F4ACF"/>
    <w:rsid w:val="006F4B0D"/>
    <w:rsid w:val="006F4F95"/>
    <w:rsid w:val="006F50D3"/>
    <w:rsid w:val="006F513D"/>
    <w:rsid w:val="006F5185"/>
    <w:rsid w:val="006F5195"/>
    <w:rsid w:val="006F5227"/>
    <w:rsid w:val="006F52B7"/>
    <w:rsid w:val="006F53E5"/>
    <w:rsid w:val="006F55F5"/>
    <w:rsid w:val="006F561E"/>
    <w:rsid w:val="006F5679"/>
    <w:rsid w:val="006F567E"/>
    <w:rsid w:val="006F5721"/>
    <w:rsid w:val="006F5977"/>
    <w:rsid w:val="006F5ABA"/>
    <w:rsid w:val="006F5B31"/>
    <w:rsid w:val="006F5D90"/>
    <w:rsid w:val="006F6006"/>
    <w:rsid w:val="006F603D"/>
    <w:rsid w:val="006F6401"/>
    <w:rsid w:val="006F6455"/>
    <w:rsid w:val="006F64ED"/>
    <w:rsid w:val="006F64FA"/>
    <w:rsid w:val="006F653C"/>
    <w:rsid w:val="006F6825"/>
    <w:rsid w:val="006F6A74"/>
    <w:rsid w:val="006F6AE6"/>
    <w:rsid w:val="006F6C0C"/>
    <w:rsid w:val="006F6D8A"/>
    <w:rsid w:val="006F6F7E"/>
    <w:rsid w:val="006F72CF"/>
    <w:rsid w:val="006F7521"/>
    <w:rsid w:val="006F760D"/>
    <w:rsid w:val="006F79B1"/>
    <w:rsid w:val="006F7A15"/>
    <w:rsid w:val="006F7A5B"/>
    <w:rsid w:val="006F7A6C"/>
    <w:rsid w:val="006F7AF5"/>
    <w:rsid w:val="006F7E24"/>
    <w:rsid w:val="006F7F94"/>
    <w:rsid w:val="007000D9"/>
    <w:rsid w:val="007002DD"/>
    <w:rsid w:val="007003F1"/>
    <w:rsid w:val="007004A0"/>
    <w:rsid w:val="007008BA"/>
    <w:rsid w:val="00700984"/>
    <w:rsid w:val="00700F36"/>
    <w:rsid w:val="00700F60"/>
    <w:rsid w:val="00700F8D"/>
    <w:rsid w:val="00701382"/>
    <w:rsid w:val="00701428"/>
    <w:rsid w:val="00701541"/>
    <w:rsid w:val="00701568"/>
    <w:rsid w:val="007019B7"/>
    <w:rsid w:val="00701A1C"/>
    <w:rsid w:val="00701BE8"/>
    <w:rsid w:val="00701C29"/>
    <w:rsid w:val="00701E79"/>
    <w:rsid w:val="0070236F"/>
    <w:rsid w:val="007023A3"/>
    <w:rsid w:val="0070249B"/>
    <w:rsid w:val="0070249E"/>
    <w:rsid w:val="007024FE"/>
    <w:rsid w:val="0070258A"/>
    <w:rsid w:val="007026A4"/>
    <w:rsid w:val="00702D2A"/>
    <w:rsid w:val="00703052"/>
    <w:rsid w:val="00703069"/>
    <w:rsid w:val="007031FA"/>
    <w:rsid w:val="0070324A"/>
    <w:rsid w:val="007032A9"/>
    <w:rsid w:val="007032B8"/>
    <w:rsid w:val="00703928"/>
    <w:rsid w:val="0070396D"/>
    <w:rsid w:val="00703C2B"/>
    <w:rsid w:val="00703DA3"/>
    <w:rsid w:val="00703F57"/>
    <w:rsid w:val="00704283"/>
    <w:rsid w:val="007044E3"/>
    <w:rsid w:val="0070459A"/>
    <w:rsid w:val="00704671"/>
    <w:rsid w:val="007048FF"/>
    <w:rsid w:val="0070495C"/>
    <w:rsid w:val="00704A7C"/>
    <w:rsid w:val="00704CFA"/>
    <w:rsid w:val="00704D88"/>
    <w:rsid w:val="00704DD3"/>
    <w:rsid w:val="007050DF"/>
    <w:rsid w:val="00705155"/>
    <w:rsid w:val="00705278"/>
    <w:rsid w:val="00705315"/>
    <w:rsid w:val="007056B8"/>
    <w:rsid w:val="007056CE"/>
    <w:rsid w:val="007057D7"/>
    <w:rsid w:val="0070582D"/>
    <w:rsid w:val="00705AE1"/>
    <w:rsid w:val="00705CF9"/>
    <w:rsid w:val="00705D5B"/>
    <w:rsid w:val="00705E05"/>
    <w:rsid w:val="007062F3"/>
    <w:rsid w:val="0070638C"/>
    <w:rsid w:val="00706482"/>
    <w:rsid w:val="0070660F"/>
    <w:rsid w:val="0070678B"/>
    <w:rsid w:val="007067AC"/>
    <w:rsid w:val="0070693A"/>
    <w:rsid w:val="00706A37"/>
    <w:rsid w:val="00706A71"/>
    <w:rsid w:val="00706C57"/>
    <w:rsid w:val="00706C8C"/>
    <w:rsid w:val="00706DE1"/>
    <w:rsid w:val="00706DF8"/>
    <w:rsid w:val="00706ECB"/>
    <w:rsid w:val="00707110"/>
    <w:rsid w:val="00707425"/>
    <w:rsid w:val="007074A5"/>
    <w:rsid w:val="007076B9"/>
    <w:rsid w:val="00707946"/>
    <w:rsid w:val="00707A75"/>
    <w:rsid w:val="00707A83"/>
    <w:rsid w:val="00707C22"/>
    <w:rsid w:val="00707CAE"/>
    <w:rsid w:val="00707CE7"/>
    <w:rsid w:val="00707EA9"/>
    <w:rsid w:val="007101A1"/>
    <w:rsid w:val="00710325"/>
    <w:rsid w:val="0071055C"/>
    <w:rsid w:val="00710567"/>
    <w:rsid w:val="0071062A"/>
    <w:rsid w:val="007106C6"/>
    <w:rsid w:val="0071093B"/>
    <w:rsid w:val="00710945"/>
    <w:rsid w:val="00710BAC"/>
    <w:rsid w:val="00710E94"/>
    <w:rsid w:val="00710FE9"/>
    <w:rsid w:val="00711022"/>
    <w:rsid w:val="0071116B"/>
    <w:rsid w:val="00711361"/>
    <w:rsid w:val="007114D9"/>
    <w:rsid w:val="007114F1"/>
    <w:rsid w:val="00711550"/>
    <w:rsid w:val="007116C5"/>
    <w:rsid w:val="00711965"/>
    <w:rsid w:val="007119A7"/>
    <w:rsid w:val="007119C1"/>
    <w:rsid w:val="00711C94"/>
    <w:rsid w:val="00712158"/>
    <w:rsid w:val="007123B4"/>
    <w:rsid w:val="00712569"/>
    <w:rsid w:val="007127D0"/>
    <w:rsid w:val="00712987"/>
    <w:rsid w:val="00712DD8"/>
    <w:rsid w:val="00712DE7"/>
    <w:rsid w:val="00712EB2"/>
    <w:rsid w:val="00713075"/>
    <w:rsid w:val="00713079"/>
    <w:rsid w:val="007130FE"/>
    <w:rsid w:val="0071312E"/>
    <w:rsid w:val="0071316F"/>
    <w:rsid w:val="0071328D"/>
    <w:rsid w:val="007132ED"/>
    <w:rsid w:val="007133FB"/>
    <w:rsid w:val="00713536"/>
    <w:rsid w:val="0071395F"/>
    <w:rsid w:val="00713B54"/>
    <w:rsid w:val="00713B92"/>
    <w:rsid w:val="00713BAC"/>
    <w:rsid w:val="00713D3C"/>
    <w:rsid w:val="00713E40"/>
    <w:rsid w:val="00713E7B"/>
    <w:rsid w:val="00713FDE"/>
    <w:rsid w:val="00714018"/>
    <w:rsid w:val="00714146"/>
    <w:rsid w:val="0071419C"/>
    <w:rsid w:val="0071475B"/>
    <w:rsid w:val="00714817"/>
    <w:rsid w:val="00714A33"/>
    <w:rsid w:val="00714BFE"/>
    <w:rsid w:val="0071508F"/>
    <w:rsid w:val="007150A1"/>
    <w:rsid w:val="007150F1"/>
    <w:rsid w:val="0071555A"/>
    <w:rsid w:val="007156E9"/>
    <w:rsid w:val="007157EA"/>
    <w:rsid w:val="007158C2"/>
    <w:rsid w:val="00715A10"/>
    <w:rsid w:val="00715AC6"/>
    <w:rsid w:val="00715D5F"/>
    <w:rsid w:val="00715ED7"/>
    <w:rsid w:val="007160F8"/>
    <w:rsid w:val="0071614E"/>
    <w:rsid w:val="007161DC"/>
    <w:rsid w:val="00716316"/>
    <w:rsid w:val="007164DF"/>
    <w:rsid w:val="007167C8"/>
    <w:rsid w:val="00716895"/>
    <w:rsid w:val="0071691F"/>
    <w:rsid w:val="00716A1C"/>
    <w:rsid w:val="00716C95"/>
    <w:rsid w:val="00716E08"/>
    <w:rsid w:val="00716EDE"/>
    <w:rsid w:val="00716F0B"/>
    <w:rsid w:val="00717125"/>
    <w:rsid w:val="007172B2"/>
    <w:rsid w:val="007174AF"/>
    <w:rsid w:val="00717933"/>
    <w:rsid w:val="00717A28"/>
    <w:rsid w:val="00717DBE"/>
    <w:rsid w:val="00717EF8"/>
    <w:rsid w:val="0072022B"/>
    <w:rsid w:val="00720241"/>
    <w:rsid w:val="007204B5"/>
    <w:rsid w:val="007204EF"/>
    <w:rsid w:val="0072054B"/>
    <w:rsid w:val="007205EF"/>
    <w:rsid w:val="00720675"/>
    <w:rsid w:val="007206A2"/>
    <w:rsid w:val="007206B9"/>
    <w:rsid w:val="007206C8"/>
    <w:rsid w:val="00720795"/>
    <w:rsid w:val="007207A2"/>
    <w:rsid w:val="0072086D"/>
    <w:rsid w:val="00720A05"/>
    <w:rsid w:val="00720C0E"/>
    <w:rsid w:val="00720D64"/>
    <w:rsid w:val="00720DDB"/>
    <w:rsid w:val="00720E75"/>
    <w:rsid w:val="007211D0"/>
    <w:rsid w:val="007212BA"/>
    <w:rsid w:val="0072144C"/>
    <w:rsid w:val="007214DC"/>
    <w:rsid w:val="0072156F"/>
    <w:rsid w:val="007217D2"/>
    <w:rsid w:val="00721876"/>
    <w:rsid w:val="007218F2"/>
    <w:rsid w:val="00721993"/>
    <w:rsid w:val="00721AFA"/>
    <w:rsid w:val="0072234B"/>
    <w:rsid w:val="00722548"/>
    <w:rsid w:val="00722593"/>
    <w:rsid w:val="00722652"/>
    <w:rsid w:val="007226EC"/>
    <w:rsid w:val="00722858"/>
    <w:rsid w:val="00722D73"/>
    <w:rsid w:val="00722EEC"/>
    <w:rsid w:val="00723057"/>
    <w:rsid w:val="0072314D"/>
    <w:rsid w:val="007234C7"/>
    <w:rsid w:val="00723814"/>
    <w:rsid w:val="00723D6F"/>
    <w:rsid w:val="00723F2E"/>
    <w:rsid w:val="00724053"/>
    <w:rsid w:val="00724149"/>
    <w:rsid w:val="007244D2"/>
    <w:rsid w:val="007244EC"/>
    <w:rsid w:val="007245C9"/>
    <w:rsid w:val="007246D3"/>
    <w:rsid w:val="00724754"/>
    <w:rsid w:val="0072498E"/>
    <w:rsid w:val="00724AEC"/>
    <w:rsid w:val="00724BCE"/>
    <w:rsid w:val="00724C09"/>
    <w:rsid w:val="00724C6E"/>
    <w:rsid w:val="00724C80"/>
    <w:rsid w:val="00724F92"/>
    <w:rsid w:val="007253C0"/>
    <w:rsid w:val="00725415"/>
    <w:rsid w:val="00725509"/>
    <w:rsid w:val="00725674"/>
    <w:rsid w:val="0072579A"/>
    <w:rsid w:val="00725AC5"/>
    <w:rsid w:val="00725ACB"/>
    <w:rsid w:val="00725C16"/>
    <w:rsid w:val="00725F00"/>
    <w:rsid w:val="00725F32"/>
    <w:rsid w:val="007260F1"/>
    <w:rsid w:val="007261EF"/>
    <w:rsid w:val="007262DE"/>
    <w:rsid w:val="007264FA"/>
    <w:rsid w:val="00726687"/>
    <w:rsid w:val="00726A67"/>
    <w:rsid w:val="00726F87"/>
    <w:rsid w:val="00726FB2"/>
    <w:rsid w:val="0072701F"/>
    <w:rsid w:val="007270B8"/>
    <w:rsid w:val="0072748F"/>
    <w:rsid w:val="00727606"/>
    <w:rsid w:val="0072763B"/>
    <w:rsid w:val="00727752"/>
    <w:rsid w:val="00727BC2"/>
    <w:rsid w:val="00727D1C"/>
    <w:rsid w:val="00727E7B"/>
    <w:rsid w:val="0073030D"/>
    <w:rsid w:val="0073040E"/>
    <w:rsid w:val="0073091D"/>
    <w:rsid w:val="00730991"/>
    <w:rsid w:val="00730A22"/>
    <w:rsid w:val="00730A78"/>
    <w:rsid w:val="00731437"/>
    <w:rsid w:val="00731544"/>
    <w:rsid w:val="007315B4"/>
    <w:rsid w:val="0073165E"/>
    <w:rsid w:val="00731736"/>
    <w:rsid w:val="007318AD"/>
    <w:rsid w:val="0073197E"/>
    <w:rsid w:val="007319B9"/>
    <w:rsid w:val="00731C18"/>
    <w:rsid w:val="00731CD7"/>
    <w:rsid w:val="00731CDE"/>
    <w:rsid w:val="00731E13"/>
    <w:rsid w:val="00731ED5"/>
    <w:rsid w:val="007320C9"/>
    <w:rsid w:val="007321DE"/>
    <w:rsid w:val="007321E2"/>
    <w:rsid w:val="007322F5"/>
    <w:rsid w:val="00732396"/>
    <w:rsid w:val="00732693"/>
    <w:rsid w:val="007326AB"/>
    <w:rsid w:val="00732716"/>
    <w:rsid w:val="0073284F"/>
    <w:rsid w:val="007328AB"/>
    <w:rsid w:val="00732E24"/>
    <w:rsid w:val="00732E32"/>
    <w:rsid w:val="00732EE5"/>
    <w:rsid w:val="00732FC6"/>
    <w:rsid w:val="00733022"/>
    <w:rsid w:val="00733118"/>
    <w:rsid w:val="00733159"/>
    <w:rsid w:val="007331E6"/>
    <w:rsid w:val="00733243"/>
    <w:rsid w:val="00733565"/>
    <w:rsid w:val="007336E2"/>
    <w:rsid w:val="007339C2"/>
    <w:rsid w:val="00733B0C"/>
    <w:rsid w:val="00733E7E"/>
    <w:rsid w:val="00733F06"/>
    <w:rsid w:val="00734071"/>
    <w:rsid w:val="007340D5"/>
    <w:rsid w:val="0073432D"/>
    <w:rsid w:val="00734938"/>
    <w:rsid w:val="00734AE3"/>
    <w:rsid w:val="00734C80"/>
    <w:rsid w:val="00734DFA"/>
    <w:rsid w:val="00734EC1"/>
    <w:rsid w:val="00734EDD"/>
    <w:rsid w:val="00734F53"/>
    <w:rsid w:val="00734F56"/>
    <w:rsid w:val="00735182"/>
    <w:rsid w:val="007351AD"/>
    <w:rsid w:val="007353A6"/>
    <w:rsid w:val="007354F6"/>
    <w:rsid w:val="00735522"/>
    <w:rsid w:val="0073555A"/>
    <w:rsid w:val="0073558F"/>
    <w:rsid w:val="007355CC"/>
    <w:rsid w:val="007359CA"/>
    <w:rsid w:val="007359E3"/>
    <w:rsid w:val="00735E04"/>
    <w:rsid w:val="00735F95"/>
    <w:rsid w:val="0073609D"/>
    <w:rsid w:val="00736271"/>
    <w:rsid w:val="00736276"/>
    <w:rsid w:val="007362B7"/>
    <w:rsid w:val="00736456"/>
    <w:rsid w:val="00736524"/>
    <w:rsid w:val="007365CA"/>
    <w:rsid w:val="00736959"/>
    <w:rsid w:val="00736A3C"/>
    <w:rsid w:val="00736AB9"/>
    <w:rsid w:val="00736BD0"/>
    <w:rsid w:val="00736C21"/>
    <w:rsid w:val="00736CE8"/>
    <w:rsid w:val="0073719C"/>
    <w:rsid w:val="007376DE"/>
    <w:rsid w:val="00737803"/>
    <w:rsid w:val="00737A42"/>
    <w:rsid w:val="00737F00"/>
    <w:rsid w:val="00737F3F"/>
    <w:rsid w:val="00740060"/>
    <w:rsid w:val="00740312"/>
    <w:rsid w:val="00740540"/>
    <w:rsid w:val="00740556"/>
    <w:rsid w:val="007405E9"/>
    <w:rsid w:val="00740942"/>
    <w:rsid w:val="0074098D"/>
    <w:rsid w:val="00740A9A"/>
    <w:rsid w:val="00740CBD"/>
    <w:rsid w:val="00740DE2"/>
    <w:rsid w:val="00740E14"/>
    <w:rsid w:val="00740E88"/>
    <w:rsid w:val="00741108"/>
    <w:rsid w:val="0074136C"/>
    <w:rsid w:val="00741401"/>
    <w:rsid w:val="0074174C"/>
    <w:rsid w:val="007417BE"/>
    <w:rsid w:val="00741814"/>
    <w:rsid w:val="007419B0"/>
    <w:rsid w:val="007419C1"/>
    <w:rsid w:val="00741DA6"/>
    <w:rsid w:val="00741DFF"/>
    <w:rsid w:val="00741E52"/>
    <w:rsid w:val="00741F92"/>
    <w:rsid w:val="00742129"/>
    <w:rsid w:val="00742195"/>
    <w:rsid w:val="0074242C"/>
    <w:rsid w:val="007427E6"/>
    <w:rsid w:val="0074292C"/>
    <w:rsid w:val="00742AAE"/>
    <w:rsid w:val="00742C8B"/>
    <w:rsid w:val="00742D36"/>
    <w:rsid w:val="007434C5"/>
    <w:rsid w:val="00743879"/>
    <w:rsid w:val="007438A7"/>
    <w:rsid w:val="00743CA8"/>
    <w:rsid w:val="00743F6B"/>
    <w:rsid w:val="007440AB"/>
    <w:rsid w:val="007440D6"/>
    <w:rsid w:val="0074415B"/>
    <w:rsid w:val="00744524"/>
    <w:rsid w:val="0074453F"/>
    <w:rsid w:val="00744586"/>
    <w:rsid w:val="00744727"/>
    <w:rsid w:val="00744A25"/>
    <w:rsid w:val="00744CA0"/>
    <w:rsid w:val="00744E3E"/>
    <w:rsid w:val="00744E57"/>
    <w:rsid w:val="00744EEC"/>
    <w:rsid w:val="0074505B"/>
    <w:rsid w:val="00745299"/>
    <w:rsid w:val="00745446"/>
    <w:rsid w:val="0074547E"/>
    <w:rsid w:val="00745529"/>
    <w:rsid w:val="00745585"/>
    <w:rsid w:val="00745726"/>
    <w:rsid w:val="0074585E"/>
    <w:rsid w:val="007458A3"/>
    <w:rsid w:val="007458E2"/>
    <w:rsid w:val="0074593A"/>
    <w:rsid w:val="00745944"/>
    <w:rsid w:val="00745A16"/>
    <w:rsid w:val="00745CD3"/>
    <w:rsid w:val="007460FB"/>
    <w:rsid w:val="00746176"/>
    <w:rsid w:val="0074642F"/>
    <w:rsid w:val="00746728"/>
    <w:rsid w:val="00746889"/>
    <w:rsid w:val="00746945"/>
    <w:rsid w:val="00746A26"/>
    <w:rsid w:val="00746BC2"/>
    <w:rsid w:val="00746E41"/>
    <w:rsid w:val="0074730E"/>
    <w:rsid w:val="00747808"/>
    <w:rsid w:val="00747A2C"/>
    <w:rsid w:val="00747CE5"/>
    <w:rsid w:val="00747DA5"/>
    <w:rsid w:val="00747DF5"/>
    <w:rsid w:val="00747EBE"/>
    <w:rsid w:val="00747F7B"/>
    <w:rsid w:val="00750095"/>
    <w:rsid w:val="007502E6"/>
    <w:rsid w:val="007504B6"/>
    <w:rsid w:val="007509A9"/>
    <w:rsid w:val="007509F8"/>
    <w:rsid w:val="00750A22"/>
    <w:rsid w:val="00750B50"/>
    <w:rsid w:val="00750B9B"/>
    <w:rsid w:val="00750BA7"/>
    <w:rsid w:val="00750DB2"/>
    <w:rsid w:val="00750F76"/>
    <w:rsid w:val="00750FA5"/>
    <w:rsid w:val="007510D0"/>
    <w:rsid w:val="007514D3"/>
    <w:rsid w:val="00751531"/>
    <w:rsid w:val="007516CA"/>
    <w:rsid w:val="00751971"/>
    <w:rsid w:val="00751B3D"/>
    <w:rsid w:val="00751B68"/>
    <w:rsid w:val="00751BD3"/>
    <w:rsid w:val="00751C2A"/>
    <w:rsid w:val="00751D35"/>
    <w:rsid w:val="00751DA3"/>
    <w:rsid w:val="0075214E"/>
    <w:rsid w:val="00752302"/>
    <w:rsid w:val="00752496"/>
    <w:rsid w:val="007525AD"/>
    <w:rsid w:val="00752752"/>
    <w:rsid w:val="007527C1"/>
    <w:rsid w:val="007527F4"/>
    <w:rsid w:val="00752BAC"/>
    <w:rsid w:val="00752C03"/>
    <w:rsid w:val="00752DF1"/>
    <w:rsid w:val="00752E58"/>
    <w:rsid w:val="00752F2A"/>
    <w:rsid w:val="00753452"/>
    <w:rsid w:val="0075359F"/>
    <w:rsid w:val="00753652"/>
    <w:rsid w:val="0075378D"/>
    <w:rsid w:val="007537C3"/>
    <w:rsid w:val="007537EC"/>
    <w:rsid w:val="0075381C"/>
    <w:rsid w:val="007538FF"/>
    <w:rsid w:val="00753C4B"/>
    <w:rsid w:val="00753D8D"/>
    <w:rsid w:val="00753E4A"/>
    <w:rsid w:val="00753EC4"/>
    <w:rsid w:val="00753F7F"/>
    <w:rsid w:val="00754204"/>
    <w:rsid w:val="00754281"/>
    <w:rsid w:val="0075446F"/>
    <w:rsid w:val="00754558"/>
    <w:rsid w:val="007545A1"/>
    <w:rsid w:val="00754605"/>
    <w:rsid w:val="0075465B"/>
    <w:rsid w:val="007546B0"/>
    <w:rsid w:val="007546F8"/>
    <w:rsid w:val="007548E9"/>
    <w:rsid w:val="00754B55"/>
    <w:rsid w:val="00754BCE"/>
    <w:rsid w:val="00754C88"/>
    <w:rsid w:val="00754CB4"/>
    <w:rsid w:val="00755250"/>
    <w:rsid w:val="007552A6"/>
    <w:rsid w:val="00755434"/>
    <w:rsid w:val="0075549D"/>
    <w:rsid w:val="007555D6"/>
    <w:rsid w:val="0075598A"/>
    <w:rsid w:val="00755A93"/>
    <w:rsid w:val="00755B2A"/>
    <w:rsid w:val="00755BC3"/>
    <w:rsid w:val="00755CE3"/>
    <w:rsid w:val="00755D5D"/>
    <w:rsid w:val="00756016"/>
    <w:rsid w:val="0075603B"/>
    <w:rsid w:val="00756123"/>
    <w:rsid w:val="00756217"/>
    <w:rsid w:val="007563A6"/>
    <w:rsid w:val="007565B2"/>
    <w:rsid w:val="007566BE"/>
    <w:rsid w:val="00756C6F"/>
    <w:rsid w:val="0075729D"/>
    <w:rsid w:val="00757629"/>
    <w:rsid w:val="00757781"/>
    <w:rsid w:val="00757784"/>
    <w:rsid w:val="00757A02"/>
    <w:rsid w:val="00757A8B"/>
    <w:rsid w:val="00757AF2"/>
    <w:rsid w:val="00757E30"/>
    <w:rsid w:val="0076015D"/>
    <w:rsid w:val="00760229"/>
    <w:rsid w:val="00760447"/>
    <w:rsid w:val="007606EB"/>
    <w:rsid w:val="007607B4"/>
    <w:rsid w:val="00760890"/>
    <w:rsid w:val="007608B6"/>
    <w:rsid w:val="00760AA8"/>
    <w:rsid w:val="00760B11"/>
    <w:rsid w:val="00760C8B"/>
    <w:rsid w:val="00760E17"/>
    <w:rsid w:val="00760EF8"/>
    <w:rsid w:val="0076108C"/>
    <w:rsid w:val="007611F7"/>
    <w:rsid w:val="007612E3"/>
    <w:rsid w:val="00761481"/>
    <w:rsid w:val="0076179A"/>
    <w:rsid w:val="007617B0"/>
    <w:rsid w:val="007618D9"/>
    <w:rsid w:val="00761931"/>
    <w:rsid w:val="00761B33"/>
    <w:rsid w:val="00761BAD"/>
    <w:rsid w:val="00761BD1"/>
    <w:rsid w:val="00761D3C"/>
    <w:rsid w:val="00761E38"/>
    <w:rsid w:val="007620CC"/>
    <w:rsid w:val="00762334"/>
    <w:rsid w:val="00762389"/>
    <w:rsid w:val="00762400"/>
    <w:rsid w:val="00762670"/>
    <w:rsid w:val="00762697"/>
    <w:rsid w:val="007626C3"/>
    <w:rsid w:val="00762788"/>
    <w:rsid w:val="007627DA"/>
    <w:rsid w:val="00762AE1"/>
    <w:rsid w:val="00762B79"/>
    <w:rsid w:val="00762D49"/>
    <w:rsid w:val="00762F99"/>
    <w:rsid w:val="00763087"/>
    <w:rsid w:val="0076338C"/>
    <w:rsid w:val="00763814"/>
    <w:rsid w:val="00763A82"/>
    <w:rsid w:val="00763B9B"/>
    <w:rsid w:val="00763C1A"/>
    <w:rsid w:val="00763D89"/>
    <w:rsid w:val="00763F3D"/>
    <w:rsid w:val="00764047"/>
    <w:rsid w:val="0076439D"/>
    <w:rsid w:val="00764580"/>
    <w:rsid w:val="007645C2"/>
    <w:rsid w:val="007646CD"/>
    <w:rsid w:val="007648C9"/>
    <w:rsid w:val="007649B7"/>
    <w:rsid w:val="00764A79"/>
    <w:rsid w:val="00764B17"/>
    <w:rsid w:val="00764C31"/>
    <w:rsid w:val="00764D3F"/>
    <w:rsid w:val="00764F4D"/>
    <w:rsid w:val="00765210"/>
    <w:rsid w:val="00765217"/>
    <w:rsid w:val="0076550C"/>
    <w:rsid w:val="007655B9"/>
    <w:rsid w:val="00765642"/>
    <w:rsid w:val="00765942"/>
    <w:rsid w:val="00765CF0"/>
    <w:rsid w:val="00765D2B"/>
    <w:rsid w:val="0076605E"/>
    <w:rsid w:val="00766361"/>
    <w:rsid w:val="007663B9"/>
    <w:rsid w:val="00766900"/>
    <w:rsid w:val="00766C6B"/>
    <w:rsid w:val="00766D92"/>
    <w:rsid w:val="00766D9A"/>
    <w:rsid w:val="00767333"/>
    <w:rsid w:val="00767352"/>
    <w:rsid w:val="007675DC"/>
    <w:rsid w:val="007676E9"/>
    <w:rsid w:val="007678F7"/>
    <w:rsid w:val="0076798C"/>
    <w:rsid w:val="00767A35"/>
    <w:rsid w:val="00767B66"/>
    <w:rsid w:val="00767C5D"/>
    <w:rsid w:val="00767C67"/>
    <w:rsid w:val="00767E7B"/>
    <w:rsid w:val="0077007F"/>
    <w:rsid w:val="007700BE"/>
    <w:rsid w:val="00770123"/>
    <w:rsid w:val="007702D1"/>
    <w:rsid w:val="007709C9"/>
    <w:rsid w:val="00770A51"/>
    <w:rsid w:val="00770ACF"/>
    <w:rsid w:val="00770D24"/>
    <w:rsid w:val="00770ED0"/>
    <w:rsid w:val="00770FCD"/>
    <w:rsid w:val="00771006"/>
    <w:rsid w:val="0077109A"/>
    <w:rsid w:val="007710AF"/>
    <w:rsid w:val="007710B5"/>
    <w:rsid w:val="007710DB"/>
    <w:rsid w:val="007711BF"/>
    <w:rsid w:val="00771302"/>
    <w:rsid w:val="00771336"/>
    <w:rsid w:val="00771408"/>
    <w:rsid w:val="007714BC"/>
    <w:rsid w:val="0077159C"/>
    <w:rsid w:val="0077162B"/>
    <w:rsid w:val="007717E4"/>
    <w:rsid w:val="00771AB6"/>
    <w:rsid w:val="00771B19"/>
    <w:rsid w:val="00771C7C"/>
    <w:rsid w:val="00772143"/>
    <w:rsid w:val="007721A6"/>
    <w:rsid w:val="0077222E"/>
    <w:rsid w:val="007726BD"/>
    <w:rsid w:val="007726D8"/>
    <w:rsid w:val="00772702"/>
    <w:rsid w:val="00772947"/>
    <w:rsid w:val="00772A62"/>
    <w:rsid w:val="00772D2C"/>
    <w:rsid w:val="00772F99"/>
    <w:rsid w:val="0077319A"/>
    <w:rsid w:val="007731FD"/>
    <w:rsid w:val="00773202"/>
    <w:rsid w:val="0077320F"/>
    <w:rsid w:val="00773599"/>
    <w:rsid w:val="00773986"/>
    <w:rsid w:val="0077399F"/>
    <w:rsid w:val="00773D3C"/>
    <w:rsid w:val="00773DE5"/>
    <w:rsid w:val="00773F73"/>
    <w:rsid w:val="0077406B"/>
    <w:rsid w:val="0077440E"/>
    <w:rsid w:val="0077443A"/>
    <w:rsid w:val="007744C1"/>
    <w:rsid w:val="00774601"/>
    <w:rsid w:val="007747BE"/>
    <w:rsid w:val="007748F2"/>
    <w:rsid w:val="00774AC7"/>
    <w:rsid w:val="00774B56"/>
    <w:rsid w:val="00774B5A"/>
    <w:rsid w:val="00775077"/>
    <w:rsid w:val="00775435"/>
    <w:rsid w:val="007754EC"/>
    <w:rsid w:val="007756B3"/>
    <w:rsid w:val="00775D09"/>
    <w:rsid w:val="00775E7F"/>
    <w:rsid w:val="007762F9"/>
    <w:rsid w:val="00776354"/>
    <w:rsid w:val="0077653A"/>
    <w:rsid w:val="0077655A"/>
    <w:rsid w:val="00776569"/>
    <w:rsid w:val="007767AF"/>
    <w:rsid w:val="007767D0"/>
    <w:rsid w:val="00776820"/>
    <w:rsid w:val="00776992"/>
    <w:rsid w:val="00776A52"/>
    <w:rsid w:val="00776B0C"/>
    <w:rsid w:val="00776B61"/>
    <w:rsid w:val="00776C17"/>
    <w:rsid w:val="00776C9C"/>
    <w:rsid w:val="00776CFE"/>
    <w:rsid w:val="00776D09"/>
    <w:rsid w:val="00777079"/>
    <w:rsid w:val="007773AC"/>
    <w:rsid w:val="00777537"/>
    <w:rsid w:val="007778AA"/>
    <w:rsid w:val="00777983"/>
    <w:rsid w:val="007779D0"/>
    <w:rsid w:val="00777A43"/>
    <w:rsid w:val="00777A80"/>
    <w:rsid w:val="00777B76"/>
    <w:rsid w:val="00777D4C"/>
    <w:rsid w:val="00777F0A"/>
    <w:rsid w:val="00777F42"/>
    <w:rsid w:val="0078002C"/>
    <w:rsid w:val="007801EB"/>
    <w:rsid w:val="007801F0"/>
    <w:rsid w:val="007804AD"/>
    <w:rsid w:val="007804BF"/>
    <w:rsid w:val="00780507"/>
    <w:rsid w:val="0078056B"/>
    <w:rsid w:val="007806DD"/>
    <w:rsid w:val="00780787"/>
    <w:rsid w:val="00780980"/>
    <w:rsid w:val="00780996"/>
    <w:rsid w:val="0078099A"/>
    <w:rsid w:val="007809C2"/>
    <w:rsid w:val="007809D6"/>
    <w:rsid w:val="00780B53"/>
    <w:rsid w:val="00780BDC"/>
    <w:rsid w:val="00780C0F"/>
    <w:rsid w:val="00780C98"/>
    <w:rsid w:val="00780EC1"/>
    <w:rsid w:val="00780F95"/>
    <w:rsid w:val="00781147"/>
    <w:rsid w:val="00781279"/>
    <w:rsid w:val="00781321"/>
    <w:rsid w:val="007813A6"/>
    <w:rsid w:val="007814EF"/>
    <w:rsid w:val="00781558"/>
    <w:rsid w:val="00781570"/>
    <w:rsid w:val="00781609"/>
    <w:rsid w:val="007816C9"/>
    <w:rsid w:val="0078185D"/>
    <w:rsid w:val="007819B8"/>
    <w:rsid w:val="00782035"/>
    <w:rsid w:val="00782150"/>
    <w:rsid w:val="00782468"/>
    <w:rsid w:val="007824BF"/>
    <w:rsid w:val="00782599"/>
    <w:rsid w:val="00782901"/>
    <w:rsid w:val="00782D40"/>
    <w:rsid w:val="00782D6C"/>
    <w:rsid w:val="00782FF8"/>
    <w:rsid w:val="00783015"/>
    <w:rsid w:val="0078303F"/>
    <w:rsid w:val="00783149"/>
    <w:rsid w:val="0078329C"/>
    <w:rsid w:val="007837A3"/>
    <w:rsid w:val="00783898"/>
    <w:rsid w:val="00783BAD"/>
    <w:rsid w:val="00783BBF"/>
    <w:rsid w:val="00783C3B"/>
    <w:rsid w:val="00783C60"/>
    <w:rsid w:val="00783CF9"/>
    <w:rsid w:val="00783D33"/>
    <w:rsid w:val="00783D7E"/>
    <w:rsid w:val="00783F09"/>
    <w:rsid w:val="00784161"/>
    <w:rsid w:val="007845D8"/>
    <w:rsid w:val="0078486F"/>
    <w:rsid w:val="00784B7B"/>
    <w:rsid w:val="00784D27"/>
    <w:rsid w:val="00784F15"/>
    <w:rsid w:val="00785096"/>
    <w:rsid w:val="007852B8"/>
    <w:rsid w:val="00785644"/>
    <w:rsid w:val="00785ACA"/>
    <w:rsid w:val="00785D4B"/>
    <w:rsid w:val="00785D6A"/>
    <w:rsid w:val="0078604A"/>
    <w:rsid w:val="007860B8"/>
    <w:rsid w:val="00786142"/>
    <w:rsid w:val="00786224"/>
    <w:rsid w:val="0078627D"/>
    <w:rsid w:val="007863F7"/>
    <w:rsid w:val="0078658D"/>
    <w:rsid w:val="007867BB"/>
    <w:rsid w:val="00786C51"/>
    <w:rsid w:val="00786CA9"/>
    <w:rsid w:val="00786E0E"/>
    <w:rsid w:val="00786EAC"/>
    <w:rsid w:val="00786F0F"/>
    <w:rsid w:val="00786FEC"/>
    <w:rsid w:val="0078746F"/>
    <w:rsid w:val="0078755A"/>
    <w:rsid w:val="0078767B"/>
    <w:rsid w:val="00787692"/>
    <w:rsid w:val="007879CE"/>
    <w:rsid w:val="00787B7F"/>
    <w:rsid w:val="00787EAD"/>
    <w:rsid w:val="00790542"/>
    <w:rsid w:val="007905FE"/>
    <w:rsid w:val="007907AB"/>
    <w:rsid w:val="007908A8"/>
    <w:rsid w:val="00790912"/>
    <w:rsid w:val="00790991"/>
    <w:rsid w:val="007909D0"/>
    <w:rsid w:val="007909F1"/>
    <w:rsid w:val="00790A1E"/>
    <w:rsid w:val="00790A5D"/>
    <w:rsid w:val="00790ACF"/>
    <w:rsid w:val="00790BBB"/>
    <w:rsid w:val="00790E2C"/>
    <w:rsid w:val="00790E36"/>
    <w:rsid w:val="007910F6"/>
    <w:rsid w:val="00791189"/>
    <w:rsid w:val="00791211"/>
    <w:rsid w:val="0079137B"/>
    <w:rsid w:val="007916CF"/>
    <w:rsid w:val="007919E7"/>
    <w:rsid w:val="00791A70"/>
    <w:rsid w:val="00791AD8"/>
    <w:rsid w:val="00791CFD"/>
    <w:rsid w:val="00791EAE"/>
    <w:rsid w:val="00791F88"/>
    <w:rsid w:val="00792096"/>
    <w:rsid w:val="007920FE"/>
    <w:rsid w:val="00792504"/>
    <w:rsid w:val="0079252A"/>
    <w:rsid w:val="0079270D"/>
    <w:rsid w:val="00792908"/>
    <w:rsid w:val="00792937"/>
    <w:rsid w:val="00792A11"/>
    <w:rsid w:val="00792A7F"/>
    <w:rsid w:val="00792AF1"/>
    <w:rsid w:val="00792CEE"/>
    <w:rsid w:val="00792DDF"/>
    <w:rsid w:val="00792EC2"/>
    <w:rsid w:val="0079323C"/>
    <w:rsid w:val="00793287"/>
    <w:rsid w:val="00793472"/>
    <w:rsid w:val="007934C3"/>
    <w:rsid w:val="007934F3"/>
    <w:rsid w:val="0079365B"/>
    <w:rsid w:val="007939B4"/>
    <w:rsid w:val="00793D0D"/>
    <w:rsid w:val="00793E38"/>
    <w:rsid w:val="00793E44"/>
    <w:rsid w:val="00793E8E"/>
    <w:rsid w:val="00793F89"/>
    <w:rsid w:val="00793FCC"/>
    <w:rsid w:val="0079401B"/>
    <w:rsid w:val="00794069"/>
    <w:rsid w:val="00794111"/>
    <w:rsid w:val="00794370"/>
    <w:rsid w:val="00794439"/>
    <w:rsid w:val="0079451F"/>
    <w:rsid w:val="007945FC"/>
    <w:rsid w:val="00794690"/>
    <w:rsid w:val="0079469D"/>
    <w:rsid w:val="007946D4"/>
    <w:rsid w:val="007947CC"/>
    <w:rsid w:val="00794890"/>
    <w:rsid w:val="007948E8"/>
    <w:rsid w:val="0079495A"/>
    <w:rsid w:val="00794B1E"/>
    <w:rsid w:val="00794B4E"/>
    <w:rsid w:val="00794C4A"/>
    <w:rsid w:val="00794DE2"/>
    <w:rsid w:val="00794EA8"/>
    <w:rsid w:val="00794F19"/>
    <w:rsid w:val="00795074"/>
    <w:rsid w:val="0079517C"/>
    <w:rsid w:val="0079558B"/>
    <w:rsid w:val="0079562A"/>
    <w:rsid w:val="007956CC"/>
    <w:rsid w:val="00795CAC"/>
    <w:rsid w:val="00795D54"/>
    <w:rsid w:val="00795E13"/>
    <w:rsid w:val="00795F62"/>
    <w:rsid w:val="00796034"/>
    <w:rsid w:val="00796068"/>
    <w:rsid w:val="007960A7"/>
    <w:rsid w:val="007962DC"/>
    <w:rsid w:val="00796321"/>
    <w:rsid w:val="00796615"/>
    <w:rsid w:val="00796C20"/>
    <w:rsid w:val="00796D79"/>
    <w:rsid w:val="00796DA5"/>
    <w:rsid w:val="00796DE3"/>
    <w:rsid w:val="00796E12"/>
    <w:rsid w:val="0079704A"/>
    <w:rsid w:val="00797310"/>
    <w:rsid w:val="007973C1"/>
    <w:rsid w:val="007974DB"/>
    <w:rsid w:val="0079799E"/>
    <w:rsid w:val="00797D28"/>
    <w:rsid w:val="00797E8D"/>
    <w:rsid w:val="00797EA4"/>
    <w:rsid w:val="00797EBF"/>
    <w:rsid w:val="007A0032"/>
    <w:rsid w:val="007A01C7"/>
    <w:rsid w:val="007A0474"/>
    <w:rsid w:val="007A087F"/>
    <w:rsid w:val="007A08C0"/>
    <w:rsid w:val="007A09B7"/>
    <w:rsid w:val="007A0BE4"/>
    <w:rsid w:val="007A0E0C"/>
    <w:rsid w:val="007A0E53"/>
    <w:rsid w:val="007A12C1"/>
    <w:rsid w:val="007A12EB"/>
    <w:rsid w:val="007A186D"/>
    <w:rsid w:val="007A194A"/>
    <w:rsid w:val="007A1AEE"/>
    <w:rsid w:val="007A1B8A"/>
    <w:rsid w:val="007A1C06"/>
    <w:rsid w:val="007A2003"/>
    <w:rsid w:val="007A2605"/>
    <w:rsid w:val="007A269F"/>
    <w:rsid w:val="007A26EA"/>
    <w:rsid w:val="007A29A3"/>
    <w:rsid w:val="007A2B34"/>
    <w:rsid w:val="007A2EE1"/>
    <w:rsid w:val="007A2F5F"/>
    <w:rsid w:val="007A2F81"/>
    <w:rsid w:val="007A30FB"/>
    <w:rsid w:val="007A318B"/>
    <w:rsid w:val="007A3259"/>
    <w:rsid w:val="007A358B"/>
    <w:rsid w:val="007A3B4E"/>
    <w:rsid w:val="007A3B7E"/>
    <w:rsid w:val="007A3D76"/>
    <w:rsid w:val="007A3F8A"/>
    <w:rsid w:val="007A403A"/>
    <w:rsid w:val="007A433B"/>
    <w:rsid w:val="007A4514"/>
    <w:rsid w:val="007A4A93"/>
    <w:rsid w:val="007A4CAD"/>
    <w:rsid w:val="007A4D19"/>
    <w:rsid w:val="007A4F47"/>
    <w:rsid w:val="007A503E"/>
    <w:rsid w:val="007A50D9"/>
    <w:rsid w:val="007A5236"/>
    <w:rsid w:val="007A53B5"/>
    <w:rsid w:val="007A5463"/>
    <w:rsid w:val="007A54D7"/>
    <w:rsid w:val="007A559C"/>
    <w:rsid w:val="007A5632"/>
    <w:rsid w:val="007A5A21"/>
    <w:rsid w:val="007A5A42"/>
    <w:rsid w:val="007A5FEA"/>
    <w:rsid w:val="007A607A"/>
    <w:rsid w:val="007A6112"/>
    <w:rsid w:val="007A62AD"/>
    <w:rsid w:val="007A62C7"/>
    <w:rsid w:val="007A62DB"/>
    <w:rsid w:val="007A6384"/>
    <w:rsid w:val="007A6672"/>
    <w:rsid w:val="007A66B3"/>
    <w:rsid w:val="007A680B"/>
    <w:rsid w:val="007A6883"/>
    <w:rsid w:val="007A6BBF"/>
    <w:rsid w:val="007A6C15"/>
    <w:rsid w:val="007A6C3F"/>
    <w:rsid w:val="007A6E25"/>
    <w:rsid w:val="007A7088"/>
    <w:rsid w:val="007A709C"/>
    <w:rsid w:val="007A722B"/>
    <w:rsid w:val="007A729C"/>
    <w:rsid w:val="007A72AF"/>
    <w:rsid w:val="007A76FF"/>
    <w:rsid w:val="007A7AE0"/>
    <w:rsid w:val="007A7B99"/>
    <w:rsid w:val="007A7BAB"/>
    <w:rsid w:val="007A7BC9"/>
    <w:rsid w:val="007A7DA0"/>
    <w:rsid w:val="007A7E79"/>
    <w:rsid w:val="007B00C8"/>
    <w:rsid w:val="007B017E"/>
    <w:rsid w:val="007B027E"/>
    <w:rsid w:val="007B03D1"/>
    <w:rsid w:val="007B0516"/>
    <w:rsid w:val="007B0B39"/>
    <w:rsid w:val="007B0CDE"/>
    <w:rsid w:val="007B0D18"/>
    <w:rsid w:val="007B0EC7"/>
    <w:rsid w:val="007B104A"/>
    <w:rsid w:val="007B10AF"/>
    <w:rsid w:val="007B14CF"/>
    <w:rsid w:val="007B15B6"/>
    <w:rsid w:val="007B161D"/>
    <w:rsid w:val="007B19F4"/>
    <w:rsid w:val="007B1E2B"/>
    <w:rsid w:val="007B1E38"/>
    <w:rsid w:val="007B1F0F"/>
    <w:rsid w:val="007B206D"/>
    <w:rsid w:val="007B267E"/>
    <w:rsid w:val="007B2681"/>
    <w:rsid w:val="007B272D"/>
    <w:rsid w:val="007B288D"/>
    <w:rsid w:val="007B29D9"/>
    <w:rsid w:val="007B2A82"/>
    <w:rsid w:val="007B2B6D"/>
    <w:rsid w:val="007B2CBF"/>
    <w:rsid w:val="007B2CCD"/>
    <w:rsid w:val="007B2E88"/>
    <w:rsid w:val="007B2E92"/>
    <w:rsid w:val="007B2F0A"/>
    <w:rsid w:val="007B2F91"/>
    <w:rsid w:val="007B305E"/>
    <w:rsid w:val="007B3369"/>
    <w:rsid w:val="007B3383"/>
    <w:rsid w:val="007B340C"/>
    <w:rsid w:val="007B35D3"/>
    <w:rsid w:val="007B380A"/>
    <w:rsid w:val="007B388B"/>
    <w:rsid w:val="007B38EA"/>
    <w:rsid w:val="007B396F"/>
    <w:rsid w:val="007B3BDD"/>
    <w:rsid w:val="007B3D88"/>
    <w:rsid w:val="007B3E19"/>
    <w:rsid w:val="007B3E8D"/>
    <w:rsid w:val="007B3F71"/>
    <w:rsid w:val="007B402D"/>
    <w:rsid w:val="007B414C"/>
    <w:rsid w:val="007B41F9"/>
    <w:rsid w:val="007B4507"/>
    <w:rsid w:val="007B4743"/>
    <w:rsid w:val="007B4C15"/>
    <w:rsid w:val="007B4D26"/>
    <w:rsid w:val="007B4D91"/>
    <w:rsid w:val="007B4E07"/>
    <w:rsid w:val="007B4ED5"/>
    <w:rsid w:val="007B50C8"/>
    <w:rsid w:val="007B50CF"/>
    <w:rsid w:val="007B528E"/>
    <w:rsid w:val="007B52F0"/>
    <w:rsid w:val="007B5346"/>
    <w:rsid w:val="007B562F"/>
    <w:rsid w:val="007B59F1"/>
    <w:rsid w:val="007B5A56"/>
    <w:rsid w:val="007B5BCC"/>
    <w:rsid w:val="007B5D9C"/>
    <w:rsid w:val="007B5EA7"/>
    <w:rsid w:val="007B5FFC"/>
    <w:rsid w:val="007B60ED"/>
    <w:rsid w:val="007B62F9"/>
    <w:rsid w:val="007B6373"/>
    <w:rsid w:val="007B659F"/>
    <w:rsid w:val="007B65A0"/>
    <w:rsid w:val="007B6E21"/>
    <w:rsid w:val="007B727A"/>
    <w:rsid w:val="007B730B"/>
    <w:rsid w:val="007B7314"/>
    <w:rsid w:val="007B7401"/>
    <w:rsid w:val="007B7462"/>
    <w:rsid w:val="007B76F2"/>
    <w:rsid w:val="007B7860"/>
    <w:rsid w:val="007B7906"/>
    <w:rsid w:val="007B7C75"/>
    <w:rsid w:val="007B7F10"/>
    <w:rsid w:val="007B7F6B"/>
    <w:rsid w:val="007C004C"/>
    <w:rsid w:val="007C01FD"/>
    <w:rsid w:val="007C0324"/>
    <w:rsid w:val="007C045E"/>
    <w:rsid w:val="007C0522"/>
    <w:rsid w:val="007C054E"/>
    <w:rsid w:val="007C056F"/>
    <w:rsid w:val="007C063F"/>
    <w:rsid w:val="007C0645"/>
    <w:rsid w:val="007C08D0"/>
    <w:rsid w:val="007C0B27"/>
    <w:rsid w:val="007C0BDA"/>
    <w:rsid w:val="007C0CA2"/>
    <w:rsid w:val="007C0D81"/>
    <w:rsid w:val="007C0DFF"/>
    <w:rsid w:val="007C0E42"/>
    <w:rsid w:val="007C0F21"/>
    <w:rsid w:val="007C0F22"/>
    <w:rsid w:val="007C0F78"/>
    <w:rsid w:val="007C103D"/>
    <w:rsid w:val="007C111F"/>
    <w:rsid w:val="007C127D"/>
    <w:rsid w:val="007C1303"/>
    <w:rsid w:val="007C13E4"/>
    <w:rsid w:val="007C15E9"/>
    <w:rsid w:val="007C1863"/>
    <w:rsid w:val="007C1865"/>
    <w:rsid w:val="007C1893"/>
    <w:rsid w:val="007C18C0"/>
    <w:rsid w:val="007C19BC"/>
    <w:rsid w:val="007C1B8D"/>
    <w:rsid w:val="007C1EED"/>
    <w:rsid w:val="007C2051"/>
    <w:rsid w:val="007C2052"/>
    <w:rsid w:val="007C20A0"/>
    <w:rsid w:val="007C219F"/>
    <w:rsid w:val="007C223A"/>
    <w:rsid w:val="007C2257"/>
    <w:rsid w:val="007C24D5"/>
    <w:rsid w:val="007C2571"/>
    <w:rsid w:val="007C25F7"/>
    <w:rsid w:val="007C2709"/>
    <w:rsid w:val="007C2729"/>
    <w:rsid w:val="007C29B8"/>
    <w:rsid w:val="007C2A64"/>
    <w:rsid w:val="007C2CD9"/>
    <w:rsid w:val="007C2DD7"/>
    <w:rsid w:val="007C2FDC"/>
    <w:rsid w:val="007C3545"/>
    <w:rsid w:val="007C365E"/>
    <w:rsid w:val="007C3782"/>
    <w:rsid w:val="007C389C"/>
    <w:rsid w:val="007C38FB"/>
    <w:rsid w:val="007C3B2F"/>
    <w:rsid w:val="007C3C4F"/>
    <w:rsid w:val="007C3D8E"/>
    <w:rsid w:val="007C3E77"/>
    <w:rsid w:val="007C3F69"/>
    <w:rsid w:val="007C40A8"/>
    <w:rsid w:val="007C4122"/>
    <w:rsid w:val="007C41C9"/>
    <w:rsid w:val="007C429B"/>
    <w:rsid w:val="007C4737"/>
    <w:rsid w:val="007C493E"/>
    <w:rsid w:val="007C49DC"/>
    <w:rsid w:val="007C4AA5"/>
    <w:rsid w:val="007C4B20"/>
    <w:rsid w:val="007C4B6B"/>
    <w:rsid w:val="007C4CEB"/>
    <w:rsid w:val="007C4CF9"/>
    <w:rsid w:val="007C4E9A"/>
    <w:rsid w:val="007C4F2D"/>
    <w:rsid w:val="007C509C"/>
    <w:rsid w:val="007C53B9"/>
    <w:rsid w:val="007C54DC"/>
    <w:rsid w:val="007C567F"/>
    <w:rsid w:val="007C57C9"/>
    <w:rsid w:val="007C59E6"/>
    <w:rsid w:val="007C5A42"/>
    <w:rsid w:val="007C5A5F"/>
    <w:rsid w:val="007C615D"/>
    <w:rsid w:val="007C62B2"/>
    <w:rsid w:val="007C62C1"/>
    <w:rsid w:val="007C6452"/>
    <w:rsid w:val="007C6595"/>
    <w:rsid w:val="007C6639"/>
    <w:rsid w:val="007C6687"/>
    <w:rsid w:val="007C6CE4"/>
    <w:rsid w:val="007C721A"/>
    <w:rsid w:val="007C733F"/>
    <w:rsid w:val="007C7342"/>
    <w:rsid w:val="007C74C2"/>
    <w:rsid w:val="007C76F5"/>
    <w:rsid w:val="007C774C"/>
    <w:rsid w:val="007C7806"/>
    <w:rsid w:val="007C7838"/>
    <w:rsid w:val="007C79A9"/>
    <w:rsid w:val="007C7A76"/>
    <w:rsid w:val="007C7B4A"/>
    <w:rsid w:val="007C7C99"/>
    <w:rsid w:val="007C7E44"/>
    <w:rsid w:val="007C7E84"/>
    <w:rsid w:val="007C7EB3"/>
    <w:rsid w:val="007D003C"/>
    <w:rsid w:val="007D01D6"/>
    <w:rsid w:val="007D0280"/>
    <w:rsid w:val="007D02D1"/>
    <w:rsid w:val="007D0340"/>
    <w:rsid w:val="007D0726"/>
    <w:rsid w:val="007D0762"/>
    <w:rsid w:val="007D079A"/>
    <w:rsid w:val="007D0834"/>
    <w:rsid w:val="007D0AB9"/>
    <w:rsid w:val="007D1100"/>
    <w:rsid w:val="007D12A1"/>
    <w:rsid w:val="007D131A"/>
    <w:rsid w:val="007D14F2"/>
    <w:rsid w:val="007D1597"/>
    <w:rsid w:val="007D15BC"/>
    <w:rsid w:val="007D15DC"/>
    <w:rsid w:val="007D18FD"/>
    <w:rsid w:val="007D1A47"/>
    <w:rsid w:val="007D1A8D"/>
    <w:rsid w:val="007D1D33"/>
    <w:rsid w:val="007D1D92"/>
    <w:rsid w:val="007D1E34"/>
    <w:rsid w:val="007D1E8F"/>
    <w:rsid w:val="007D1F2F"/>
    <w:rsid w:val="007D1F4A"/>
    <w:rsid w:val="007D20B1"/>
    <w:rsid w:val="007D20C3"/>
    <w:rsid w:val="007D2124"/>
    <w:rsid w:val="007D224C"/>
    <w:rsid w:val="007D229B"/>
    <w:rsid w:val="007D2376"/>
    <w:rsid w:val="007D2626"/>
    <w:rsid w:val="007D262F"/>
    <w:rsid w:val="007D27D7"/>
    <w:rsid w:val="007D2988"/>
    <w:rsid w:val="007D298D"/>
    <w:rsid w:val="007D2AC6"/>
    <w:rsid w:val="007D2BF7"/>
    <w:rsid w:val="007D2C1D"/>
    <w:rsid w:val="007D2F06"/>
    <w:rsid w:val="007D308D"/>
    <w:rsid w:val="007D3687"/>
    <w:rsid w:val="007D3715"/>
    <w:rsid w:val="007D393A"/>
    <w:rsid w:val="007D396D"/>
    <w:rsid w:val="007D3A86"/>
    <w:rsid w:val="007D3BDC"/>
    <w:rsid w:val="007D3D24"/>
    <w:rsid w:val="007D3D2F"/>
    <w:rsid w:val="007D3DF0"/>
    <w:rsid w:val="007D3E59"/>
    <w:rsid w:val="007D3F64"/>
    <w:rsid w:val="007D41A3"/>
    <w:rsid w:val="007D4259"/>
    <w:rsid w:val="007D463C"/>
    <w:rsid w:val="007D4D1F"/>
    <w:rsid w:val="007D4D75"/>
    <w:rsid w:val="007D4DC7"/>
    <w:rsid w:val="007D4DEE"/>
    <w:rsid w:val="007D4E6B"/>
    <w:rsid w:val="007D4E98"/>
    <w:rsid w:val="007D5180"/>
    <w:rsid w:val="007D56B5"/>
    <w:rsid w:val="007D58C4"/>
    <w:rsid w:val="007D5A19"/>
    <w:rsid w:val="007D5C25"/>
    <w:rsid w:val="007D5C75"/>
    <w:rsid w:val="007D5D23"/>
    <w:rsid w:val="007D5FC9"/>
    <w:rsid w:val="007D61B5"/>
    <w:rsid w:val="007D61FF"/>
    <w:rsid w:val="007D665F"/>
    <w:rsid w:val="007D671E"/>
    <w:rsid w:val="007D6926"/>
    <w:rsid w:val="007D6A3E"/>
    <w:rsid w:val="007D6C5A"/>
    <w:rsid w:val="007D7032"/>
    <w:rsid w:val="007D709E"/>
    <w:rsid w:val="007D70DC"/>
    <w:rsid w:val="007D7212"/>
    <w:rsid w:val="007D72AD"/>
    <w:rsid w:val="007D749A"/>
    <w:rsid w:val="007D7615"/>
    <w:rsid w:val="007D777C"/>
    <w:rsid w:val="007D78A4"/>
    <w:rsid w:val="007D79BA"/>
    <w:rsid w:val="007D7B9A"/>
    <w:rsid w:val="007D7D62"/>
    <w:rsid w:val="007D7FFD"/>
    <w:rsid w:val="007E0033"/>
    <w:rsid w:val="007E0170"/>
    <w:rsid w:val="007E0753"/>
    <w:rsid w:val="007E08EA"/>
    <w:rsid w:val="007E0BC3"/>
    <w:rsid w:val="007E0E16"/>
    <w:rsid w:val="007E10BF"/>
    <w:rsid w:val="007E1195"/>
    <w:rsid w:val="007E1AAA"/>
    <w:rsid w:val="007E1D5E"/>
    <w:rsid w:val="007E1DF6"/>
    <w:rsid w:val="007E20C4"/>
    <w:rsid w:val="007E2C87"/>
    <w:rsid w:val="007E2D0D"/>
    <w:rsid w:val="007E2D1D"/>
    <w:rsid w:val="007E2D4A"/>
    <w:rsid w:val="007E2DEE"/>
    <w:rsid w:val="007E2EC2"/>
    <w:rsid w:val="007E2F5B"/>
    <w:rsid w:val="007E2F84"/>
    <w:rsid w:val="007E2FAE"/>
    <w:rsid w:val="007E3042"/>
    <w:rsid w:val="007E30EA"/>
    <w:rsid w:val="007E3137"/>
    <w:rsid w:val="007E335C"/>
    <w:rsid w:val="007E358A"/>
    <w:rsid w:val="007E359C"/>
    <w:rsid w:val="007E3865"/>
    <w:rsid w:val="007E394A"/>
    <w:rsid w:val="007E3B12"/>
    <w:rsid w:val="007E3BF1"/>
    <w:rsid w:val="007E3C95"/>
    <w:rsid w:val="007E3DEE"/>
    <w:rsid w:val="007E3F91"/>
    <w:rsid w:val="007E4064"/>
    <w:rsid w:val="007E40FB"/>
    <w:rsid w:val="007E43E5"/>
    <w:rsid w:val="007E43E7"/>
    <w:rsid w:val="007E45D9"/>
    <w:rsid w:val="007E4CD3"/>
    <w:rsid w:val="007E4D64"/>
    <w:rsid w:val="007E4F06"/>
    <w:rsid w:val="007E4F8B"/>
    <w:rsid w:val="007E4F9F"/>
    <w:rsid w:val="007E50B0"/>
    <w:rsid w:val="007E526E"/>
    <w:rsid w:val="007E54F1"/>
    <w:rsid w:val="007E5549"/>
    <w:rsid w:val="007E5793"/>
    <w:rsid w:val="007E58AA"/>
    <w:rsid w:val="007E5AF0"/>
    <w:rsid w:val="007E5D5A"/>
    <w:rsid w:val="007E5D83"/>
    <w:rsid w:val="007E5F74"/>
    <w:rsid w:val="007E607D"/>
    <w:rsid w:val="007E60B5"/>
    <w:rsid w:val="007E630D"/>
    <w:rsid w:val="007E6346"/>
    <w:rsid w:val="007E6A68"/>
    <w:rsid w:val="007E6A9D"/>
    <w:rsid w:val="007E6C0B"/>
    <w:rsid w:val="007E6CCC"/>
    <w:rsid w:val="007E7084"/>
    <w:rsid w:val="007E70DE"/>
    <w:rsid w:val="007E71FB"/>
    <w:rsid w:val="007E7205"/>
    <w:rsid w:val="007E7AA1"/>
    <w:rsid w:val="007E7D73"/>
    <w:rsid w:val="007E7EB9"/>
    <w:rsid w:val="007F01F3"/>
    <w:rsid w:val="007F0218"/>
    <w:rsid w:val="007F032D"/>
    <w:rsid w:val="007F0330"/>
    <w:rsid w:val="007F0523"/>
    <w:rsid w:val="007F0545"/>
    <w:rsid w:val="007F072F"/>
    <w:rsid w:val="007F0737"/>
    <w:rsid w:val="007F0A97"/>
    <w:rsid w:val="007F0B78"/>
    <w:rsid w:val="007F0C45"/>
    <w:rsid w:val="007F0CEB"/>
    <w:rsid w:val="007F0D9A"/>
    <w:rsid w:val="007F0E63"/>
    <w:rsid w:val="007F0E95"/>
    <w:rsid w:val="007F118E"/>
    <w:rsid w:val="007F1228"/>
    <w:rsid w:val="007F1237"/>
    <w:rsid w:val="007F1403"/>
    <w:rsid w:val="007F15CA"/>
    <w:rsid w:val="007F1663"/>
    <w:rsid w:val="007F1883"/>
    <w:rsid w:val="007F1BE6"/>
    <w:rsid w:val="007F1C58"/>
    <w:rsid w:val="007F1D76"/>
    <w:rsid w:val="007F1F23"/>
    <w:rsid w:val="007F2126"/>
    <w:rsid w:val="007F2144"/>
    <w:rsid w:val="007F21C6"/>
    <w:rsid w:val="007F22E5"/>
    <w:rsid w:val="007F2441"/>
    <w:rsid w:val="007F2512"/>
    <w:rsid w:val="007F2558"/>
    <w:rsid w:val="007F27C3"/>
    <w:rsid w:val="007F2897"/>
    <w:rsid w:val="007F2BEA"/>
    <w:rsid w:val="007F30AD"/>
    <w:rsid w:val="007F3189"/>
    <w:rsid w:val="007F3226"/>
    <w:rsid w:val="007F3326"/>
    <w:rsid w:val="007F3499"/>
    <w:rsid w:val="007F3518"/>
    <w:rsid w:val="007F366F"/>
    <w:rsid w:val="007F3879"/>
    <w:rsid w:val="007F38D2"/>
    <w:rsid w:val="007F38E3"/>
    <w:rsid w:val="007F3DB1"/>
    <w:rsid w:val="007F3ED3"/>
    <w:rsid w:val="007F3F32"/>
    <w:rsid w:val="007F406C"/>
    <w:rsid w:val="007F4088"/>
    <w:rsid w:val="007F4147"/>
    <w:rsid w:val="007F44CE"/>
    <w:rsid w:val="007F465C"/>
    <w:rsid w:val="007F4D77"/>
    <w:rsid w:val="007F4F70"/>
    <w:rsid w:val="007F5104"/>
    <w:rsid w:val="007F5308"/>
    <w:rsid w:val="007F5364"/>
    <w:rsid w:val="007F5530"/>
    <w:rsid w:val="007F5690"/>
    <w:rsid w:val="007F589D"/>
    <w:rsid w:val="007F5992"/>
    <w:rsid w:val="007F5A34"/>
    <w:rsid w:val="007F5AFD"/>
    <w:rsid w:val="007F5B09"/>
    <w:rsid w:val="007F5E76"/>
    <w:rsid w:val="007F5EB4"/>
    <w:rsid w:val="007F5ED7"/>
    <w:rsid w:val="007F603F"/>
    <w:rsid w:val="007F61EE"/>
    <w:rsid w:val="007F6236"/>
    <w:rsid w:val="007F625F"/>
    <w:rsid w:val="007F6C26"/>
    <w:rsid w:val="007F6CDD"/>
    <w:rsid w:val="007F6DDF"/>
    <w:rsid w:val="007F6EA4"/>
    <w:rsid w:val="007F6F3E"/>
    <w:rsid w:val="007F707B"/>
    <w:rsid w:val="007F73A7"/>
    <w:rsid w:val="007F75E1"/>
    <w:rsid w:val="007F7669"/>
    <w:rsid w:val="007F767F"/>
    <w:rsid w:val="007F76A0"/>
    <w:rsid w:val="007F76F0"/>
    <w:rsid w:val="007F7802"/>
    <w:rsid w:val="007F7AD6"/>
    <w:rsid w:val="007F7AE7"/>
    <w:rsid w:val="007F7D5E"/>
    <w:rsid w:val="007F7ED7"/>
    <w:rsid w:val="007F7EDF"/>
    <w:rsid w:val="008000A7"/>
    <w:rsid w:val="008002B5"/>
    <w:rsid w:val="00800353"/>
    <w:rsid w:val="008003D8"/>
    <w:rsid w:val="008003EF"/>
    <w:rsid w:val="00800559"/>
    <w:rsid w:val="008007E1"/>
    <w:rsid w:val="00800945"/>
    <w:rsid w:val="00800982"/>
    <w:rsid w:val="00800A41"/>
    <w:rsid w:val="00800C3F"/>
    <w:rsid w:val="00800EBE"/>
    <w:rsid w:val="008010AF"/>
    <w:rsid w:val="00801343"/>
    <w:rsid w:val="00801512"/>
    <w:rsid w:val="00801597"/>
    <w:rsid w:val="00801913"/>
    <w:rsid w:val="00801AD9"/>
    <w:rsid w:val="00801BD3"/>
    <w:rsid w:val="00801BEC"/>
    <w:rsid w:val="00801CF4"/>
    <w:rsid w:val="00801D3F"/>
    <w:rsid w:val="00801E39"/>
    <w:rsid w:val="00801E5B"/>
    <w:rsid w:val="00801F1C"/>
    <w:rsid w:val="0080200A"/>
    <w:rsid w:val="008024C1"/>
    <w:rsid w:val="00802561"/>
    <w:rsid w:val="008025F5"/>
    <w:rsid w:val="0080269C"/>
    <w:rsid w:val="00802786"/>
    <w:rsid w:val="00802946"/>
    <w:rsid w:val="008029FF"/>
    <w:rsid w:val="00802CC5"/>
    <w:rsid w:val="0080322C"/>
    <w:rsid w:val="008032D2"/>
    <w:rsid w:val="00803356"/>
    <w:rsid w:val="008033C3"/>
    <w:rsid w:val="00803489"/>
    <w:rsid w:val="008040FA"/>
    <w:rsid w:val="0080419A"/>
    <w:rsid w:val="0080431C"/>
    <w:rsid w:val="008043D3"/>
    <w:rsid w:val="008044DB"/>
    <w:rsid w:val="00804572"/>
    <w:rsid w:val="008045F9"/>
    <w:rsid w:val="0080478A"/>
    <w:rsid w:val="00804808"/>
    <w:rsid w:val="00804B01"/>
    <w:rsid w:val="00804BCA"/>
    <w:rsid w:val="00804D09"/>
    <w:rsid w:val="00804F4C"/>
    <w:rsid w:val="008053BA"/>
    <w:rsid w:val="0080549B"/>
    <w:rsid w:val="008055A7"/>
    <w:rsid w:val="00805734"/>
    <w:rsid w:val="008058D2"/>
    <w:rsid w:val="008059DC"/>
    <w:rsid w:val="00805AEF"/>
    <w:rsid w:val="00805B1B"/>
    <w:rsid w:val="00805DA7"/>
    <w:rsid w:val="00805E38"/>
    <w:rsid w:val="00806228"/>
    <w:rsid w:val="008063B3"/>
    <w:rsid w:val="00806488"/>
    <w:rsid w:val="00806591"/>
    <w:rsid w:val="0080678C"/>
    <w:rsid w:val="008067FB"/>
    <w:rsid w:val="008068DB"/>
    <w:rsid w:val="0080699A"/>
    <w:rsid w:val="00806DD7"/>
    <w:rsid w:val="00806E9A"/>
    <w:rsid w:val="00806EB1"/>
    <w:rsid w:val="0080739E"/>
    <w:rsid w:val="0080741B"/>
    <w:rsid w:val="008074CA"/>
    <w:rsid w:val="00807882"/>
    <w:rsid w:val="00807973"/>
    <w:rsid w:val="00807A9D"/>
    <w:rsid w:val="00807AD2"/>
    <w:rsid w:val="00807C71"/>
    <w:rsid w:val="00807C7B"/>
    <w:rsid w:val="00807CC6"/>
    <w:rsid w:val="0081029C"/>
    <w:rsid w:val="00810560"/>
    <w:rsid w:val="008106AE"/>
    <w:rsid w:val="00810714"/>
    <w:rsid w:val="00810778"/>
    <w:rsid w:val="00810AD8"/>
    <w:rsid w:val="00810C18"/>
    <w:rsid w:val="00810CDD"/>
    <w:rsid w:val="00810D92"/>
    <w:rsid w:val="0081128E"/>
    <w:rsid w:val="008112F5"/>
    <w:rsid w:val="008113A7"/>
    <w:rsid w:val="0081147C"/>
    <w:rsid w:val="008116F1"/>
    <w:rsid w:val="00811749"/>
    <w:rsid w:val="0081177C"/>
    <w:rsid w:val="008117AD"/>
    <w:rsid w:val="0081183F"/>
    <w:rsid w:val="008119AA"/>
    <w:rsid w:val="00811B5D"/>
    <w:rsid w:val="00811C81"/>
    <w:rsid w:val="00811FC1"/>
    <w:rsid w:val="00812163"/>
    <w:rsid w:val="0081219A"/>
    <w:rsid w:val="0081235F"/>
    <w:rsid w:val="008124E8"/>
    <w:rsid w:val="008126B7"/>
    <w:rsid w:val="008126C2"/>
    <w:rsid w:val="00812916"/>
    <w:rsid w:val="00812EDC"/>
    <w:rsid w:val="008130C6"/>
    <w:rsid w:val="0081360B"/>
    <w:rsid w:val="0081363A"/>
    <w:rsid w:val="0081367A"/>
    <w:rsid w:val="00813A5C"/>
    <w:rsid w:val="00813B1C"/>
    <w:rsid w:val="00813EA4"/>
    <w:rsid w:val="00813F67"/>
    <w:rsid w:val="00814032"/>
    <w:rsid w:val="00814105"/>
    <w:rsid w:val="008144AF"/>
    <w:rsid w:val="0081461E"/>
    <w:rsid w:val="0081470B"/>
    <w:rsid w:val="008148CA"/>
    <w:rsid w:val="00814C44"/>
    <w:rsid w:val="00814C79"/>
    <w:rsid w:val="00814D63"/>
    <w:rsid w:val="00814D65"/>
    <w:rsid w:val="00814F86"/>
    <w:rsid w:val="00815010"/>
    <w:rsid w:val="008153E6"/>
    <w:rsid w:val="0081565F"/>
    <w:rsid w:val="0081578D"/>
    <w:rsid w:val="00815A99"/>
    <w:rsid w:val="00815B86"/>
    <w:rsid w:val="00815C64"/>
    <w:rsid w:val="00815E3D"/>
    <w:rsid w:val="00815E4C"/>
    <w:rsid w:val="00815EFD"/>
    <w:rsid w:val="00816082"/>
    <w:rsid w:val="00816175"/>
    <w:rsid w:val="00816213"/>
    <w:rsid w:val="00816235"/>
    <w:rsid w:val="0081624E"/>
    <w:rsid w:val="00816339"/>
    <w:rsid w:val="00816542"/>
    <w:rsid w:val="00816543"/>
    <w:rsid w:val="008165DC"/>
    <w:rsid w:val="00816974"/>
    <w:rsid w:val="00816CAA"/>
    <w:rsid w:val="00816FE5"/>
    <w:rsid w:val="0081711F"/>
    <w:rsid w:val="0081716F"/>
    <w:rsid w:val="008171A0"/>
    <w:rsid w:val="008172B6"/>
    <w:rsid w:val="00817406"/>
    <w:rsid w:val="00817526"/>
    <w:rsid w:val="008179AE"/>
    <w:rsid w:val="00817ACF"/>
    <w:rsid w:val="00817B50"/>
    <w:rsid w:val="00817BD4"/>
    <w:rsid w:val="00817C12"/>
    <w:rsid w:val="00817E55"/>
    <w:rsid w:val="008200A2"/>
    <w:rsid w:val="00820266"/>
    <w:rsid w:val="008202FE"/>
    <w:rsid w:val="008204D7"/>
    <w:rsid w:val="00820519"/>
    <w:rsid w:val="00820539"/>
    <w:rsid w:val="0082068D"/>
    <w:rsid w:val="008206B8"/>
    <w:rsid w:val="00820866"/>
    <w:rsid w:val="008208FC"/>
    <w:rsid w:val="0082098A"/>
    <w:rsid w:val="00820BD9"/>
    <w:rsid w:val="00820D2B"/>
    <w:rsid w:val="0082112B"/>
    <w:rsid w:val="00821134"/>
    <w:rsid w:val="0082143B"/>
    <w:rsid w:val="00821470"/>
    <w:rsid w:val="008215E9"/>
    <w:rsid w:val="008216D4"/>
    <w:rsid w:val="008216DB"/>
    <w:rsid w:val="0082171C"/>
    <w:rsid w:val="008217D1"/>
    <w:rsid w:val="00821802"/>
    <w:rsid w:val="0082188B"/>
    <w:rsid w:val="00821B89"/>
    <w:rsid w:val="00821D32"/>
    <w:rsid w:val="00821D35"/>
    <w:rsid w:val="00821D7A"/>
    <w:rsid w:val="00821E21"/>
    <w:rsid w:val="00821E80"/>
    <w:rsid w:val="00821EC6"/>
    <w:rsid w:val="008220C0"/>
    <w:rsid w:val="00822354"/>
    <w:rsid w:val="008223E4"/>
    <w:rsid w:val="008228D0"/>
    <w:rsid w:val="00822CC1"/>
    <w:rsid w:val="00822D74"/>
    <w:rsid w:val="00822EBF"/>
    <w:rsid w:val="00822F06"/>
    <w:rsid w:val="00822F67"/>
    <w:rsid w:val="00823081"/>
    <w:rsid w:val="008232B7"/>
    <w:rsid w:val="008232ED"/>
    <w:rsid w:val="00823428"/>
    <w:rsid w:val="008235B7"/>
    <w:rsid w:val="008235BF"/>
    <w:rsid w:val="008236F2"/>
    <w:rsid w:val="0082393C"/>
    <w:rsid w:val="008239C3"/>
    <w:rsid w:val="00823B43"/>
    <w:rsid w:val="00823C41"/>
    <w:rsid w:val="00823D0E"/>
    <w:rsid w:val="00823DE3"/>
    <w:rsid w:val="00823EA1"/>
    <w:rsid w:val="0082414E"/>
    <w:rsid w:val="008243F9"/>
    <w:rsid w:val="008245C6"/>
    <w:rsid w:val="00824C7E"/>
    <w:rsid w:val="00824F05"/>
    <w:rsid w:val="00824FAB"/>
    <w:rsid w:val="008256B3"/>
    <w:rsid w:val="00825856"/>
    <w:rsid w:val="00825A71"/>
    <w:rsid w:val="00825B55"/>
    <w:rsid w:val="00825C47"/>
    <w:rsid w:val="00825D02"/>
    <w:rsid w:val="00825F78"/>
    <w:rsid w:val="00825F8F"/>
    <w:rsid w:val="00826169"/>
    <w:rsid w:val="00826265"/>
    <w:rsid w:val="008264DC"/>
    <w:rsid w:val="00826719"/>
    <w:rsid w:val="008268FE"/>
    <w:rsid w:val="008269D1"/>
    <w:rsid w:val="008269ED"/>
    <w:rsid w:val="00826A54"/>
    <w:rsid w:val="00826B5C"/>
    <w:rsid w:val="00826BAF"/>
    <w:rsid w:val="00826E13"/>
    <w:rsid w:val="00826F45"/>
    <w:rsid w:val="00827551"/>
    <w:rsid w:val="008275AD"/>
    <w:rsid w:val="0082769F"/>
    <w:rsid w:val="008278B7"/>
    <w:rsid w:val="00827A14"/>
    <w:rsid w:val="00827B4D"/>
    <w:rsid w:val="00827D84"/>
    <w:rsid w:val="00827E8B"/>
    <w:rsid w:val="00827F67"/>
    <w:rsid w:val="00827FD3"/>
    <w:rsid w:val="00830220"/>
    <w:rsid w:val="00830227"/>
    <w:rsid w:val="008303F7"/>
    <w:rsid w:val="0083048C"/>
    <w:rsid w:val="008304F7"/>
    <w:rsid w:val="00830520"/>
    <w:rsid w:val="0083054E"/>
    <w:rsid w:val="00830559"/>
    <w:rsid w:val="008307C2"/>
    <w:rsid w:val="008308D7"/>
    <w:rsid w:val="008309D2"/>
    <w:rsid w:val="00830DF7"/>
    <w:rsid w:val="00830EBE"/>
    <w:rsid w:val="00831204"/>
    <w:rsid w:val="008312F6"/>
    <w:rsid w:val="00831409"/>
    <w:rsid w:val="0083153E"/>
    <w:rsid w:val="0083159A"/>
    <w:rsid w:val="008316D4"/>
    <w:rsid w:val="00831993"/>
    <w:rsid w:val="00831B91"/>
    <w:rsid w:val="00831F55"/>
    <w:rsid w:val="00832082"/>
    <w:rsid w:val="00832375"/>
    <w:rsid w:val="0083240D"/>
    <w:rsid w:val="0083249E"/>
    <w:rsid w:val="00832551"/>
    <w:rsid w:val="00832659"/>
    <w:rsid w:val="008326A7"/>
    <w:rsid w:val="00832791"/>
    <w:rsid w:val="00832905"/>
    <w:rsid w:val="0083294F"/>
    <w:rsid w:val="00832AD1"/>
    <w:rsid w:val="00832D18"/>
    <w:rsid w:val="00832DC5"/>
    <w:rsid w:val="00833247"/>
    <w:rsid w:val="00833257"/>
    <w:rsid w:val="0083330F"/>
    <w:rsid w:val="00833632"/>
    <w:rsid w:val="0083363A"/>
    <w:rsid w:val="008336F3"/>
    <w:rsid w:val="00833B40"/>
    <w:rsid w:val="00833CF0"/>
    <w:rsid w:val="00833D45"/>
    <w:rsid w:val="00833D48"/>
    <w:rsid w:val="0083404C"/>
    <w:rsid w:val="0083409A"/>
    <w:rsid w:val="008344D3"/>
    <w:rsid w:val="008344E4"/>
    <w:rsid w:val="00834575"/>
    <w:rsid w:val="008345B9"/>
    <w:rsid w:val="0083460C"/>
    <w:rsid w:val="008346E6"/>
    <w:rsid w:val="00834950"/>
    <w:rsid w:val="008349EF"/>
    <w:rsid w:val="00834AB6"/>
    <w:rsid w:val="00834B09"/>
    <w:rsid w:val="00834CAD"/>
    <w:rsid w:val="00834D21"/>
    <w:rsid w:val="00834D51"/>
    <w:rsid w:val="0083548B"/>
    <w:rsid w:val="0083549C"/>
    <w:rsid w:val="008354A0"/>
    <w:rsid w:val="00835591"/>
    <w:rsid w:val="00835B7A"/>
    <w:rsid w:val="00835BB7"/>
    <w:rsid w:val="00835BC8"/>
    <w:rsid w:val="00835BC9"/>
    <w:rsid w:val="00835BCA"/>
    <w:rsid w:val="00835BE4"/>
    <w:rsid w:val="00835C00"/>
    <w:rsid w:val="00835D84"/>
    <w:rsid w:val="00835F37"/>
    <w:rsid w:val="0083613D"/>
    <w:rsid w:val="008361C5"/>
    <w:rsid w:val="0083641E"/>
    <w:rsid w:val="008364A3"/>
    <w:rsid w:val="008364DB"/>
    <w:rsid w:val="00836512"/>
    <w:rsid w:val="008366AE"/>
    <w:rsid w:val="0083683E"/>
    <w:rsid w:val="00836928"/>
    <w:rsid w:val="008369AC"/>
    <w:rsid w:val="00836B02"/>
    <w:rsid w:val="00836D7D"/>
    <w:rsid w:val="00836E9C"/>
    <w:rsid w:val="00836EC5"/>
    <w:rsid w:val="00836ED8"/>
    <w:rsid w:val="00836EFA"/>
    <w:rsid w:val="00836EFF"/>
    <w:rsid w:val="00836FAC"/>
    <w:rsid w:val="00837046"/>
    <w:rsid w:val="00837210"/>
    <w:rsid w:val="00837416"/>
    <w:rsid w:val="0083745C"/>
    <w:rsid w:val="00837475"/>
    <w:rsid w:val="00837657"/>
    <w:rsid w:val="00837888"/>
    <w:rsid w:val="008378E2"/>
    <w:rsid w:val="00837982"/>
    <w:rsid w:val="00837990"/>
    <w:rsid w:val="0083799E"/>
    <w:rsid w:val="00837A3F"/>
    <w:rsid w:val="00837CDE"/>
    <w:rsid w:val="00840036"/>
    <w:rsid w:val="0084017A"/>
    <w:rsid w:val="008404FE"/>
    <w:rsid w:val="008405D6"/>
    <w:rsid w:val="008405F1"/>
    <w:rsid w:val="008407EB"/>
    <w:rsid w:val="008409FA"/>
    <w:rsid w:val="00840F09"/>
    <w:rsid w:val="00840F2A"/>
    <w:rsid w:val="0084111D"/>
    <w:rsid w:val="00841243"/>
    <w:rsid w:val="0084144A"/>
    <w:rsid w:val="008417C0"/>
    <w:rsid w:val="00841877"/>
    <w:rsid w:val="00841895"/>
    <w:rsid w:val="0084189B"/>
    <w:rsid w:val="0084197A"/>
    <w:rsid w:val="00841AA1"/>
    <w:rsid w:val="00841B4F"/>
    <w:rsid w:val="00841F9B"/>
    <w:rsid w:val="00841FE3"/>
    <w:rsid w:val="00842032"/>
    <w:rsid w:val="00842102"/>
    <w:rsid w:val="00842124"/>
    <w:rsid w:val="00842186"/>
    <w:rsid w:val="00842293"/>
    <w:rsid w:val="00842375"/>
    <w:rsid w:val="0084271B"/>
    <w:rsid w:val="00842983"/>
    <w:rsid w:val="00842A0D"/>
    <w:rsid w:val="00842D16"/>
    <w:rsid w:val="00842D9C"/>
    <w:rsid w:val="00842F9C"/>
    <w:rsid w:val="00842FB4"/>
    <w:rsid w:val="0084326A"/>
    <w:rsid w:val="00843587"/>
    <w:rsid w:val="00843627"/>
    <w:rsid w:val="00843662"/>
    <w:rsid w:val="00843827"/>
    <w:rsid w:val="0084399E"/>
    <w:rsid w:val="00843AB2"/>
    <w:rsid w:val="00843D69"/>
    <w:rsid w:val="00843DF9"/>
    <w:rsid w:val="00843EB7"/>
    <w:rsid w:val="008440EF"/>
    <w:rsid w:val="00844A09"/>
    <w:rsid w:val="00844A1E"/>
    <w:rsid w:val="00844AA3"/>
    <w:rsid w:val="00844B8B"/>
    <w:rsid w:val="00844BD9"/>
    <w:rsid w:val="00844CB7"/>
    <w:rsid w:val="00844E26"/>
    <w:rsid w:val="00844EF3"/>
    <w:rsid w:val="0084536F"/>
    <w:rsid w:val="00845437"/>
    <w:rsid w:val="008454F4"/>
    <w:rsid w:val="00845590"/>
    <w:rsid w:val="008455D6"/>
    <w:rsid w:val="00845677"/>
    <w:rsid w:val="00845688"/>
    <w:rsid w:val="008456F2"/>
    <w:rsid w:val="00845731"/>
    <w:rsid w:val="00845820"/>
    <w:rsid w:val="0084588C"/>
    <w:rsid w:val="00845A0A"/>
    <w:rsid w:val="00845ADF"/>
    <w:rsid w:val="00845BA5"/>
    <w:rsid w:val="00845DAC"/>
    <w:rsid w:val="00845E76"/>
    <w:rsid w:val="00845FF8"/>
    <w:rsid w:val="008460D6"/>
    <w:rsid w:val="0084610B"/>
    <w:rsid w:val="0084615B"/>
    <w:rsid w:val="00846332"/>
    <w:rsid w:val="008463ED"/>
    <w:rsid w:val="0084667F"/>
    <w:rsid w:val="00846884"/>
    <w:rsid w:val="00846B96"/>
    <w:rsid w:val="00846ED2"/>
    <w:rsid w:val="008470AA"/>
    <w:rsid w:val="008470C2"/>
    <w:rsid w:val="00847250"/>
    <w:rsid w:val="008472F1"/>
    <w:rsid w:val="0084746A"/>
    <w:rsid w:val="008475EF"/>
    <w:rsid w:val="00847738"/>
    <w:rsid w:val="00847851"/>
    <w:rsid w:val="00847B25"/>
    <w:rsid w:val="00847B32"/>
    <w:rsid w:val="00847D9E"/>
    <w:rsid w:val="0085007F"/>
    <w:rsid w:val="008502CD"/>
    <w:rsid w:val="008503C4"/>
    <w:rsid w:val="008503E0"/>
    <w:rsid w:val="00850555"/>
    <w:rsid w:val="0085061A"/>
    <w:rsid w:val="00850655"/>
    <w:rsid w:val="00850867"/>
    <w:rsid w:val="008508A4"/>
    <w:rsid w:val="0085094C"/>
    <w:rsid w:val="00850A7D"/>
    <w:rsid w:val="00850E28"/>
    <w:rsid w:val="00851401"/>
    <w:rsid w:val="0085140D"/>
    <w:rsid w:val="00851415"/>
    <w:rsid w:val="0085141A"/>
    <w:rsid w:val="00851485"/>
    <w:rsid w:val="008514BB"/>
    <w:rsid w:val="008514D5"/>
    <w:rsid w:val="00851764"/>
    <w:rsid w:val="008517DC"/>
    <w:rsid w:val="008519FB"/>
    <w:rsid w:val="00851A43"/>
    <w:rsid w:val="00851A67"/>
    <w:rsid w:val="00851ABF"/>
    <w:rsid w:val="00851C17"/>
    <w:rsid w:val="00851C84"/>
    <w:rsid w:val="00851C9B"/>
    <w:rsid w:val="00852035"/>
    <w:rsid w:val="0085208D"/>
    <w:rsid w:val="008520E6"/>
    <w:rsid w:val="00852449"/>
    <w:rsid w:val="00852581"/>
    <w:rsid w:val="0085278F"/>
    <w:rsid w:val="008528F9"/>
    <w:rsid w:val="0085291B"/>
    <w:rsid w:val="0085292A"/>
    <w:rsid w:val="00852AA0"/>
    <w:rsid w:val="00852C1C"/>
    <w:rsid w:val="00852D2F"/>
    <w:rsid w:val="00852DBB"/>
    <w:rsid w:val="00852DFD"/>
    <w:rsid w:val="00852EBE"/>
    <w:rsid w:val="00852F4B"/>
    <w:rsid w:val="00852F71"/>
    <w:rsid w:val="0085308B"/>
    <w:rsid w:val="0085308E"/>
    <w:rsid w:val="008538C9"/>
    <w:rsid w:val="00853A50"/>
    <w:rsid w:val="00853AEB"/>
    <w:rsid w:val="00853B03"/>
    <w:rsid w:val="00853BE4"/>
    <w:rsid w:val="00853CFD"/>
    <w:rsid w:val="0085419F"/>
    <w:rsid w:val="008541F4"/>
    <w:rsid w:val="00854679"/>
    <w:rsid w:val="00854825"/>
    <w:rsid w:val="008549A5"/>
    <w:rsid w:val="008551ED"/>
    <w:rsid w:val="00855247"/>
    <w:rsid w:val="0085528B"/>
    <w:rsid w:val="008554B2"/>
    <w:rsid w:val="00855610"/>
    <w:rsid w:val="0085566C"/>
    <w:rsid w:val="008557D9"/>
    <w:rsid w:val="00855B17"/>
    <w:rsid w:val="00855DD7"/>
    <w:rsid w:val="00855EB0"/>
    <w:rsid w:val="008564F0"/>
    <w:rsid w:val="008565A7"/>
    <w:rsid w:val="008566DE"/>
    <w:rsid w:val="00856A54"/>
    <w:rsid w:val="00856D32"/>
    <w:rsid w:val="00856DE5"/>
    <w:rsid w:val="00856F26"/>
    <w:rsid w:val="00856F94"/>
    <w:rsid w:val="008571EE"/>
    <w:rsid w:val="00857257"/>
    <w:rsid w:val="00857264"/>
    <w:rsid w:val="008573A4"/>
    <w:rsid w:val="00857459"/>
    <w:rsid w:val="008574AB"/>
    <w:rsid w:val="0085764F"/>
    <w:rsid w:val="00857862"/>
    <w:rsid w:val="00857877"/>
    <w:rsid w:val="0085795E"/>
    <w:rsid w:val="00857976"/>
    <w:rsid w:val="00857A5C"/>
    <w:rsid w:val="00857AB1"/>
    <w:rsid w:val="00857D65"/>
    <w:rsid w:val="00857E9A"/>
    <w:rsid w:val="00857EA8"/>
    <w:rsid w:val="008601CC"/>
    <w:rsid w:val="008603F9"/>
    <w:rsid w:val="0086050F"/>
    <w:rsid w:val="00860638"/>
    <w:rsid w:val="0086078E"/>
    <w:rsid w:val="00860882"/>
    <w:rsid w:val="00860BCB"/>
    <w:rsid w:val="00860C16"/>
    <w:rsid w:val="00860E68"/>
    <w:rsid w:val="00861171"/>
    <w:rsid w:val="00861303"/>
    <w:rsid w:val="008616A4"/>
    <w:rsid w:val="008617CD"/>
    <w:rsid w:val="0086188B"/>
    <w:rsid w:val="00861B9C"/>
    <w:rsid w:val="00861C17"/>
    <w:rsid w:val="00861C22"/>
    <w:rsid w:val="00861D37"/>
    <w:rsid w:val="00861F9A"/>
    <w:rsid w:val="008621AD"/>
    <w:rsid w:val="00862394"/>
    <w:rsid w:val="00862640"/>
    <w:rsid w:val="008628A2"/>
    <w:rsid w:val="008629B0"/>
    <w:rsid w:val="008629C9"/>
    <w:rsid w:val="00862C9C"/>
    <w:rsid w:val="00862EE4"/>
    <w:rsid w:val="008632FD"/>
    <w:rsid w:val="0086344A"/>
    <w:rsid w:val="00863602"/>
    <w:rsid w:val="00863707"/>
    <w:rsid w:val="0086379A"/>
    <w:rsid w:val="00863807"/>
    <w:rsid w:val="00863836"/>
    <w:rsid w:val="00863A35"/>
    <w:rsid w:val="00863B5D"/>
    <w:rsid w:val="00863CFC"/>
    <w:rsid w:val="00863EA0"/>
    <w:rsid w:val="00863F4D"/>
    <w:rsid w:val="008643DB"/>
    <w:rsid w:val="008648D3"/>
    <w:rsid w:val="00864BF8"/>
    <w:rsid w:val="00864BFD"/>
    <w:rsid w:val="00864D43"/>
    <w:rsid w:val="00864DB0"/>
    <w:rsid w:val="00865037"/>
    <w:rsid w:val="00865219"/>
    <w:rsid w:val="0086546A"/>
    <w:rsid w:val="008655CF"/>
    <w:rsid w:val="00865844"/>
    <w:rsid w:val="008659EC"/>
    <w:rsid w:val="008659FB"/>
    <w:rsid w:val="00865A1D"/>
    <w:rsid w:val="00865B69"/>
    <w:rsid w:val="00865D1F"/>
    <w:rsid w:val="00865E8E"/>
    <w:rsid w:val="00866088"/>
    <w:rsid w:val="008660AE"/>
    <w:rsid w:val="008661E0"/>
    <w:rsid w:val="00866315"/>
    <w:rsid w:val="00866371"/>
    <w:rsid w:val="008663FA"/>
    <w:rsid w:val="008666FF"/>
    <w:rsid w:val="008667D7"/>
    <w:rsid w:val="00866B75"/>
    <w:rsid w:val="00866B92"/>
    <w:rsid w:val="00866F40"/>
    <w:rsid w:val="00866F7E"/>
    <w:rsid w:val="00867146"/>
    <w:rsid w:val="00867154"/>
    <w:rsid w:val="008671B0"/>
    <w:rsid w:val="0086733B"/>
    <w:rsid w:val="00867570"/>
    <w:rsid w:val="00867642"/>
    <w:rsid w:val="00867644"/>
    <w:rsid w:val="0086789D"/>
    <w:rsid w:val="00867BED"/>
    <w:rsid w:val="00867C86"/>
    <w:rsid w:val="00867D42"/>
    <w:rsid w:val="00867D4E"/>
    <w:rsid w:val="00867FFC"/>
    <w:rsid w:val="008700D4"/>
    <w:rsid w:val="008703F6"/>
    <w:rsid w:val="0087057D"/>
    <w:rsid w:val="008706B3"/>
    <w:rsid w:val="008707C3"/>
    <w:rsid w:val="008708DE"/>
    <w:rsid w:val="00870B9A"/>
    <w:rsid w:val="00870C72"/>
    <w:rsid w:val="00870EAD"/>
    <w:rsid w:val="00870FB1"/>
    <w:rsid w:val="0087117B"/>
    <w:rsid w:val="0087161B"/>
    <w:rsid w:val="00871765"/>
    <w:rsid w:val="0087185D"/>
    <w:rsid w:val="0087191C"/>
    <w:rsid w:val="008719CE"/>
    <w:rsid w:val="00871F97"/>
    <w:rsid w:val="0087210B"/>
    <w:rsid w:val="00872134"/>
    <w:rsid w:val="00872218"/>
    <w:rsid w:val="00872396"/>
    <w:rsid w:val="00872596"/>
    <w:rsid w:val="00872644"/>
    <w:rsid w:val="00872678"/>
    <w:rsid w:val="00872825"/>
    <w:rsid w:val="00872984"/>
    <w:rsid w:val="0087298A"/>
    <w:rsid w:val="008729AC"/>
    <w:rsid w:val="00872A4F"/>
    <w:rsid w:val="00872A94"/>
    <w:rsid w:val="00872F9B"/>
    <w:rsid w:val="0087305B"/>
    <w:rsid w:val="00873591"/>
    <w:rsid w:val="00873609"/>
    <w:rsid w:val="008736CB"/>
    <w:rsid w:val="00873837"/>
    <w:rsid w:val="008739C6"/>
    <w:rsid w:val="00873A1D"/>
    <w:rsid w:val="00873A4F"/>
    <w:rsid w:val="00873AA8"/>
    <w:rsid w:val="00873ABA"/>
    <w:rsid w:val="00873B07"/>
    <w:rsid w:val="00873D3E"/>
    <w:rsid w:val="00873DE3"/>
    <w:rsid w:val="00873ED6"/>
    <w:rsid w:val="00873FB1"/>
    <w:rsid w:val="00873FC4"/>
    <w:rsid w:val="00874013"/>
    <w:rsid w:val="008740F3"/>
    <w:rsid w:val="00874190"/>
    <w:rsid w:val="008745EC"/>
    <w:rsid w:val="00874A55"/>
    <w:rsid w:val="00874C87"/>
    <w:rsid w:val="00874DAB"/>
    <w:rsid w:val="00874EBC"/>
    <w:rsid w:val="00874F4F"/>
    <w:rsid w:val="008750B4"/>
    <w:rsid w:val="008751C2"/>
    <w:rsid w:val="008751D8"/>
    <w:rsid w:val="00875361"/>
    <w:rsid w:val="008753EC"/>
    <w:rsid w:val="008754E8"/>
    <w:rsid w:val="00875546"/>
    <w:rsid w:val="008755A1"/>
    <w:rsid w:val="008755E2"/>
    <w:rsid w:val="00875853"/>
    <w:rsid w:val="00875B06"/>
    <w:rsid w:val="00875BF1"/>
    <w:rsid w:val="00875D81"/>
    <w:rsid w:val="00876043"/>
    <w:rsid w:val="008760ED"/>
    <w:rsid w:val="0087631A"/>
    <w:rsid w:val="008763CA"/>
    <w:rsid w:val="0087640D"/>
    <w:rsid w:val="008765C2"/>
    <w:rsid w:val="00876890"/>
    <w:rsid w:val="00876925"/>
    <w:rsid w:val="00876AB1"/>
    <w:rsid w:val="00876AC1"/>
    <w:rsid w:val="00876C66"/>
    <w:rsid w:val="00876D1C"/>
    <w:rsid w:val="00876D21"/>
    <w:rsid w:val="00876E3A"/>
    <w:rsid w:val="008772E2"/>
    <w:rsid w:val="008773D5"/>
    <w:rsid w:val="0087748D"/>
    <w:rsid w:val="00877492"/>
    <w:rsid w:val="0087755A"/>
    <w:rsid w:val="00877871"/>
    <w:rsid w:val="008778AC"/>
    <w:rsid w:val="00877C7F"/>
    <w:rsid w:val="00877DC3"/>
    <w:rsid w:val="00880146"/>
    <w:rsid w:val="008801E4"/>
    <w:rsid w:val="0088037B"/>
    <w:rsid w:val="008803B1"/>
    <w:rsid w:val="008803CD"/>
    <w:rsid w:val="00880406"/>
    <w:rsid w:val="00880461"/>
    <w:rsid w:val="0088049E"/>
    <w:rsid w:val="00880583"/>
    <w:rsid w:val="008805ED"/>
    <w:rsid w:val="00880761"/>
    <w:rsid w:val="00880845"/>
    <w:rsid w:val="00880A24"/>
    <w:rsid w:val="00880ED3"/>
    <w:rsid w:val="0088111A"/>
    <w:rsid w:val="0088128F"/>
    <w:rsid w:val="008812AA"/>
    <w:rsid w:val="0088179E"/>
    <w:rsid w:val="008818D3"/>
    <w:rsid w:val="00881B18"/>
    <w:rsid w:val="00881B8D"/>
    <w:rsid w:val="00881C5A"/>
    <w:rsid w:val="00881F36"/>
    <w:rsid w:val="00881FDC"/>
    <w:rsid w:val="00882009"/>
    <w:rsid w:val="008821DE"/>
    <w:rsid w:val="008822DB"/>
    <w:rsid w:val="00882334"/>
    <w:rsid w:val="00882619"/>
    <w:rsid w:val="008826BE"/>
    <w:rsid w:val="008826D7"/>
    <w:rsid w:val="00882708"/>
    <w:rsid w:val="008828C7"/>
    <w:rsid w:val="00882975"/>
    <w:rsid w:val="00882A92"/>
    <w:rsid w:val="00882B7C"/>
    <w:rsid w:val="00882BC7"/>
    <w:rsid w:val="00882C8B"/>
    <w:rsid w:val="00882DED"/>
    <w:rsid w:val="00882EEB"/>
    <w:rsid w:val="008831D5"/>
    <w:rsid w:val="008834A2"/>
    <w:rsid w:val="008834B7"/>
    <w:rsid w:val="008834F1"/>
    <w:rsid w:val="0088357B"/>
    <w:rsid w:val="00883618"/>
    <w:rsid w:val="0088370A"/>
    <w:rsid w:val="008837DE"/>
    <w:rsid w:val="0088399D"/>
    <w:rsid w:val="00883AE7"/>
    <w:rsid w:val="00883C5F"/>
    <w:rsid w:val="00883C8F"/>
    <w:rsid w:val="00883F7F"/>
    <w:rsid w:val="0088417A"/>
    <w:rsid w:val="00884193"/>
    <w:rsid w:val="00884214"/>
    <w:rsid w:val="008842F5"/>
    <w:rsid w:val="0088447C"/>
    <w:rsid w:val="00884858"/>
    <w:rsid w:val="00884A0F"/>
    <w:rsid w:val="00884B03"/>
    <w:rsid w:val="00884B91"/>
    <w:rsid w:val="00884B9D"/>
    <w:rsid w:val="00884E24"/>
    <w:rsid w:val="00884EBB"/>
    <w:rsid w:val="00885093"/>
    <w:rsid w:val="00885223"/>
    <w:rsid w:val="00885464"/>
    <w:rsid w:val="00885725"/>
    <w:rsid w:val="008858A1"/>
    <w:rsid w:val="008858E8"/>
    <w:rsid w:val="0088597C"/>
    <w:rsid w:val="008859E6"/>
    <w:rsid w:val="00885AFD"/>
    <w:rsid w:val="00885B5F"/>
    <w:rsid w:val="00885C0C"/>
    <w:rsid w:val="00885C97"/>
    <w:rsid w:val="00886295"/>
    <w:rsid w:val="0088637F"/>
    <w:rsid w:val="008864FF"/>
    <w:rsid w:val="008865C9"/>
    <w:rsid w:val="00886756"/>
    <w:rsid w:val="008867E6"/>
    <w:rsid w:val="00886A44"/>
    <w:rsid w:val="00886A79"/>
    <w:rsid w:val="00886A94"/>
    <w:rsid w:val="00886AEE"/>
    <w:rsid w:val="00886EE5"/>
    <w:rsid w:val="0088712F"/>
    <w:rsid w:val="008879ED"/>
    <w:rsid w:val="00887A5E"/>
    <w:rsid w:val="00887B2A"/>
    <w:rsid w:val="00887CFB"/>
    <w:rsid w:val="00887E3B"/>
    <w:rsid w:val="00887E5D"/>
    <w:rsid w:val="00887EDC"/>
    <w:rsid w:val="00887EFF"/>
    <w:rsid w:val="00887F82"/>
    <w:rsid w:val="00890033"/>
    <w:rsid w:val="0089005D"/>
    <w:rsid w:val="008900F6"/>
    <w:rsid w:val="008902D0"/>
    <w:rsid w:val="008904B8"/>
    <w:rsid w:val="00890592"/>
    <w:rsid w:val="0089061F"/>
    <w:rsid w:val="008906E1"/>
    <w:rsid w:val="0089070D"/>
    <w:rsid w:val="0089079D"/>
    <w:rsid w:val="00890834"/>
    <w:rsid w:val="008909AC"/>
    <w:rsid w:val="00890B2E"/>
    <w:rsid w:val="00890D57"/>
    <w:rsid w:val="00891607"/>
    <w:rsid w:val="0089167F"/>
    <w:rsid w:val="00891707"/>
    <w:rsid w:val="00891773"/>
    <w:rsid w:val="00891805"/>
    <w:rsid w:val="00891901"/>
    <w:rsid w:val="00891C88"/>
    <w:rsid w:val="00891E5E"/>
    <w:rsid w:val="00891F4D"/>
    <w:rsid w:val="00892179"/>
    <w:rsid w:val="008921C2"/>
    <w:rsid w:val="008921DA"/>
    <w:rsid w:val="0089220F"/>
    <w:rsid w:val="0089238A"/>
    <w:rsid w:val="00892745"/>
    <w:rsid w:val="0089298F"/>
    <w:rsid w:val="00892C2D"/>
    <w:rsid w:val="00892D17"/>
    <w:rsid w:val="008932B6"/>
    <w:rsid w:val="008933B3"/>
    <w:rsid w:val="008935A5"/>
    <w:rsid w:val="0089365B"/>
    <w:rsid w:val="00893693"/>
    <w:rsid w:val="008939BA"/>
    <w:rsid w:val="00893A56"/>
    <w:rsid w:val="00893B6C"/>
    <w:rsid w:val="00893BEB"/>
    <w:rsid w:val="00893D3B"/>
    <w:rsid w:val="00893FEE"/>
    <w:rsid w:val="00894175"/>
    <w:rsid w:val="008941FA"/>
    <w:rsid w:val="0089428E"/>
    <w:rsid w:val="008942E2"/>
    <w:rsid w:val="008943F1"/>
    <w:rsid w:val="00894605"/>
    <w:rsid w:val="008947CA"/>
    <w:rsid w:val="00894855"/>
    <w:rsid w:val="00894D84"/>
    <w:rsid w:val="00895006"/>
    <w:rsid w:val="0089520C"/>
    <w:rsid w:val="0089532B"/>
    <w:rsid w:val="0089540E"/>
    <w:rsid w:val="00895416"/>
    <w:rsid w:val="00895425"/>
    <w:rsid w:val="00895AC4"/>
    <w:rsid w:val="00895AF5"/>
    <w:rsid w:val="00895B25"/>
    <w:rsid w:val="0089644C"/>
    <w:rsid w:val="008965F8"/>
    <w:rsid w:val="008967AC"/>
    <w:rsid w:val="00896ED3"/>
    <w:rsid w:val="00896F1E"/>
    <w:rsid w:val="0089701D"/>
    <w:rsid w:val="0089707F"/>
    <w:rsid w:val="008970BC"/>
    <w:rsid w:val="00897162"/>
    <w:rsid w:val="008974B6"/>
    <w:rsid w:val="008974C6"/>
    <w:rsid w:val="00897531"/>
    <w:rsid w:val="00897605"/>
    <w:rsid w:val="008976E0"/>
    <w:rsid w:val="00897784"/>
    <w:rsid w:val="0089780F"/>
    <w:rsid w:val="00897AA4"/>
    <w:rsid w:val="00897B1C"/>
    <w:rsid w:val="00897D64"/>
    <w:rsid w:val="00897F68"/>
    <w:rsid w:val="008A0034"/>
    <w:rsid w:val="008A00A3"/>
    <w:rsid w:val="008A00B6"/>
    <w:rsid w:val="008A00C5"/>
    <w:rsid w:val="008A01DA"/>
    <w:rsid w:val="008A03A6"/>
    <w:rsid w:val="008A042F"/>
    <w:rsid w:val="008A084B"/>
    <w:rsid w:val="008A0907"/>
    <w:rsid w:val="008A09E9"/>
    <w:rsid w:val="008A0E2F"/>
    <w:rsid w:val="008A0F80"/>
    <w:rsid w:val="008A0FA0"/>
    <w:rsid w:val="008A1104"/>
    <w:rsid w:val="008A1335"/>
    <w:rsid w:val="008A17A2"/>
    <w:rsid w:val="008A17FC"/>
    <w:rsid w:val="008A1C65"/>
    <w:rsid w:val="008A213E"/>
    <w:rsid w:val="008A217B"/>
    <w:rsid w:val="008A2348"/>
    <w:rsid w:val="008A238A"/>
    <w:rsid w:val="008A2546"/>
    <w:rsid w:val="008A2657"/>
    <w:rsid w:val="008A26B4"/>
    <w:rsid w:val="008A279C"/>
    <w:rsid w:val="008A2DCE"/>
    <w:rsid w:val="008A2DF3"/>
    <w:rsid w:val="008A2F4E"/>
    <w:rsid w:val="008A3130"/>
    <w:rsid w:val="008A31E1"/>
    <w:rsid w:val="008A333F"/>
    <w:rsid w:val="008A3409"/>
    <w:rsid w:val="008A3480"/>
    <w:rsid w:val="008A3962"/>
    <w:rsid w:val="008A3B30"/>
    <w:rsid w:val="008A3B79"/>
    <w:rsid w:val="008A3B9D"/>
    <w:rsid w:val="008A408A"/>
    <w:rsid w:val="008A4095"/>
    <w:rsid w:val="008A409C"/>
    <w:rsid w:val="008A4124"/>
    <w:rsid w:val="008A425D"/>
    <w:rsid w:val="008A444E"/>
    <w:rsid w:val="008A4530"/>
    <w:rsid w:val="008A454B"/>
    <w:rsid w:val="008A46BA"/>
    <w:rsid w:val="008A4864"/>
    <w:rsid w:val="008A4868"/>
    <w:rsid w:val="008A4BDD"/>
    <w:rsid w:val="008A4DB8"/>
    <w:rsid w:val="008A4E52"/>
    <w:rsid w:val="008A4F39"/>
    <w:rsid w:val="008A5065"/>
    <w:rsid w:val="008A527A"/>
    <w:rsid w:val="008A52A1"/>
    <w:rsid w:val="008A53E0"/>
    <w:rsid w:val="008A555F"/>
    <w:rsid w:val="008A5604"/>
    <w:rsid w:val="008A5631"/>
    <w:rsid w:val="008A57C7"/>
    <w:rsid w:val="008A59DA"/>
    <w:rsid w:val="008A5A0E"/>
    <w:rsid w:val="008A5C17"/>
    <w:rsid w:val="008A5E0A"/>
    <w:rsid w:val="008A5E0D"/>
    <w:rsid w:val="008A5E6A"/>
    <w:rsid w:val="008A5EC5"/>
    <w:rsid w:val="008A5F8E"/>
    <w:rsid w:val="008A62B1"/>
    <w:rsid w:val="008A6392"/>
    <w:rsid w:val="008A65D4"/>
    <w:rsid w:val="008A6615"/>
    <w:rsid w:val="008A6653"/>
    <w:rsid w:val="008A66F5"/>
    <w:rsid w:val="008A67F8"/>
    <w:rsid w:val="008A685E"/>
    <w:rsid w:val="008A6AA2"/>
    <w:rsid w:val="008A6EA8"/>
    <w:rsid w:val="008A6F21"/>
    <w:rsid w:val="008A6F48"/>
    <w:rsid w:val="008A7753"/>
    <w:rsid w:val="008A7796"/>
    <w:rsid w:val="008A77D5"/>
    <w:rsid w:val="008A78A6"/>
    <w:rsid w:val="008A798C"/>
    <w:rsid w:val="008A79BD"/>
    <w:rsid w:val="008A79FA"/>
    <w:rsid w:val="008A7AE5"/>
    <w:rsid w:val="008A7AF5"/>
    <w:rsid w:val="008A7B99"/>
    <w:rsid w:val="008A7D92"/>
    <w:rsid w:val="008A7E13"/>
    <w:rsid w:val="008A7E6E"/>
    <w:rsid w:val="008A7F0D"/>
    <w:rsid w:val="008B00C4"/>
    <w:rsid w:val="008B0106"/>
    <w:rsid w:val="008B01D5"/>
    <w:rsid w:val="008B02AC"/>
    <w:rsid w:val="008B02C8"/>
    <w:rsid w:val="008B034D"/>
    <w:rsid w:val="008B037B"/>
    <w:rsid w:val="008B0380"/>
    <w:rsid w:val="008B0493"/>
    <w:rsid w:val="008B04DC"/>
    <w:rsid w:val="008B07C5"/>
    <w:rsid w:val="008B0812"/>
    <w:rsid w:val="008B087F"/>
    <w:rsid w:val="008B0902"/>
    <w:rsid w:val="008B097E"/>
    <w:rsid w:val="008B0AAD"/>
    <w:rsid w:val="008B0B38"/>
    <w:rsid w:val="008B0C58"/>
    <w:rsid w:val="008B0EC4"/>
    <w:rsid w:val="008B11A6"/>
    <w:rsid w:val="008B12ED"/>
    <w:rsid w:val="008B1344"/>
    <w:rsid w:val="008B13E4"/>
    <w:rsid w:val="008B17F3"/>
    <w:rsid w:val="008B1821"/>
    <w:rsid w:val="008B195E"/>
    <w:rsid w:val="008B19B3"/>
    <w:rsid w:val="008B1C38"/>
    <w:rsid w:val="008B1DA8"/>
    <w:rsid w:val="008B1E02"/>
    <w:rsid w:val="008B202F"/>
    <w:rsid w:val="008B205B"/>
    <w:rsid w:val="008B20EA"/>
    <w:rsid w:val="008B22B4"/>
    <w:rsid w:val="008B2B5D"/>
    <w:rsid w:val="008B2B92"/>
    <w:rsid w:val="008B2C5B"/>
    <w:rsid w:val="008B2CF5"/>
    <w:rsid w:val="008B2FD5"/>
    <w:rsid w:val="008B30DF"/>
    <w:rsid w:val="008B32CD"/>
    <w:rsid w:val="008B3311"/>
    <w:rsid w:val="008B349B"/>
    <w:rsid w:val="008B3567"/>
    <w:rsid w:val="008B37C7"/>
    <w:rsid w:val="008B3845"/>
    <w:rsid w:val="008B3851"/>
    <w:rsid w:val="008B3ABD"/>
    <w:rsid w:val="008B3ECE"/>
    <w:rsid w:val="008B4086"/>
    <w:rsid w:val="008B4097"/>
    <w:rsid w:val="008B441F"/>
    <w:rsid w:val="008B45CE"/>
    <w:rsid w:val="008B4683"/>
    <w:rsid w:val="008B47AB"/>
    <w:rsid w:val="008B4825"/>
    <w:rsid w:val="008B485E"/>
    <w:rsid w:val="008B48D6"/>
    <w:rsid w:val="008B49DA"/>
    <w:rsid w:val="008B4A08"/>
    <w:rsid w:val="008B4CD8"/>
    <w:rsid w:val="008B4F75"/>
    <w:rsid w:val="008B4FDC"/>
    <w:rsid w:val="008B500E"/>
    <w:rsid w:val="008B50A3"/>
    <w:rsid w:val="008B51F0"/>
    <w:rsid w:val="008B52E0"/>
    <w:rsid w:val="008B538D"/>
    <w:rsid w:val="008B56A3"/>
    <w:rsid w:val="008B56D7"/>
    <w:rsid w:val="008B593E"/>
    <w:rsid w:val="008B5B72"/>
    <w:rsid w:val="008B5C8B"/>
    <w:rsid w:val="008B5FB8"/>
    <w:rsid w:val="008B61AE"/>
    <w:rsid w:val="008B61EE"/>
    <w:rsid w:val="008B6334"/>
    <w:rsid w:val="008B6351"/>
    <w:rsid w:val="008B6437"/>
    <w:rsid w:val="008B6444"/>
    <w:rsid w:val="008B6496"/>
    <w:rsid w:val="008B6550"/>
    <w:rsid w:val="008B6FBF"/>
    <w:rsid w:val="008B70FD"/>
    <w:rsid w:val="008B7492"/>
    <w:rsid w:val="008B756F"/>
    <w:rsid w:val="008B75D6"/>
    <w:rsid w:val="008B7976"/>
    <w:rsid w:val="008B7D2A"/>
    <w:rsid w:val="008B7D7B"/>
    <w:rsid w:val="008B7D7E"/>
    <w:rsid w:val="008C0485"/>
    <w:rsid w:val="008C07C1"/>
    <w:rsid w:val="008C08AD"/>
    <w:rsid w:val="008C0CC1"/>
    <w:rsid w:val="008C0D4F"/>
    <w:rsid w:val="008C0E36"/>
    <w:rsid w:val="008C0F1B"/>
    <w:rsid w:val="008C105C"/>
    <w:rsid w:val="008C14C0"/>
    <w:rsid w:val="008C1744"/>
    <w:rsid w:val="008C1762"/>
    <w:rsid w:val="008C17CF"/>
    <w:rsid w:val="008C183D"/>
    <w:rsid w:val="008C1899"/>
    <w:rsid w:val="008C1933"/>
    <w:rsid w:val="008C19D8"/>
    <w:rsid w:val="008C1AB9"/>
    <w:rsid w:val="008C1D49"/>
    <w:rsid w:val="008C1EA7"/>
    <w:rsid w:val="008C1F75"/>
    <w:rsid w:val="008C220B"/>
    <w:rsid w:val="008C24A5"/>
    <w:rsid w:val="008C255D"/>
    <w:rsid w:val="008C273F"/>
    <w:rsid w:val="008C2877"/>
    <w:rsid w:val="008C297A"/>
    <w:rsid w:val="008C2BD1"/>
    <w:rsid w:val="008C2D7F"/>
    <w:rsid w:val="008C2E96"/>
    <w:rsid w:val="008C300A"/>
    <w:rsid w:val="008C345C"/>
    <w:rsid w:val="008C3512"/>
    <w:rsid w:val="008C3540"/>
    <w:rsid w:val="008C36D0"/>
    <w:rsid w:val="008C3859"/>
    <w:rsid w:val="008C38F7"/>
    <w:rsid w:val="008C3A87"/>
    <w:rsid w:val="008C3AEE"/>
    <w:rsid w:val="008C3C0B"/>
    <w:rsid w:val="008C3D7F"/>
    <w:rsid w:val="008C3E25"/>
    <w:rsid w:val="008C3F1D"/>
    <w:rsid w:val="008C4FCD"/>
    <w:rsid w:val="008C5155"/>
    <w:rsid w:val="008C524C"/>
    <w:rsid w:val="008C5258"/>
    <w:rsid w:val="008C561F"/>
    <w:rsid w:val="008C57F2"/>
    <w:rsid w:val="008C5820"/>
    <w:rsid w:val="008C5913"/>
    <w:rsid w:val="008C5ADF"/>
    <w:rsid w:val="008C5B29"/>
    <w:rsid w:val="008C5F1F"/>
    <w:rsid w:val="008C5FFF"/>
    <w:rsid w:val="008C6153"/>
    <w:rsid w:val="008C6213"/>
    <w:rsid w:val="008C625C"/>
    <w:rsid w:val="008C6521"/>
    <w:rsid w:val="008C6930"/>
    <w:rsid w:val="008C6BDA"/>
    <w:rsid w:val="008C6CA5"/>
    <w:rsid w:val="008C6CE3"/>
    <w:rsid w:val="008C70D8"/>
    <w:rsid w:val="008C7299"/>
    <w:rsid w:val="008C73BF"/>
    <w:rsid w:val="008C73DF"/>
    <w:rsid w:val="008C7438"/>
    <w:rsid w:val="008C74BF"/>
    <w:rsid w:val="008C7558"/>
    <w:rsid w:val="008C788E"/>
    <w:rsid w:val="008C7926"/>
    <w:rsid w:val="008C7A08"/>
    <w:rsid w:val="008C7C71"/>
    <w:rsid w:val="008C7D0F"/>
    <w:rsid w:val="008C7E7C"/>
    <w:rsid w:val="008C7EFC"/>
    <w:rsid w:val="008D0052"/>
    <w:rsid w:val="008D02DD"/>
    <w:rsid w:val="008D03C4"/>
    <w:rsid w:val="008D050C"/>
    <w:rsid w:val="008D0639"/>
    <w:rsid w:val="008D06AB"/>
    <w:rsid w:val="008D0787"/>
    <w:rsid w:val="008D0A07"/>
    <w:rsid w:val="008D0AD7"/>
    <w:rsid w:val="008D0B0B"/>
    <w:rsid w:val="008D0B14"/>
    <w:rsid w:val="008D0E96"/>
    <w:rsid w:val="008D10DC"/>
    <w:rsid w:val="008D12B2"/>
    <w:rsid w:val="008D1386"/>
    <w:rsid w:val="008D14EC"/>
    <w:rsid w:val="008D1516"/>
    <w:rsid w:val="008D167F"/>
    <w:rsid w:val="008D1833"/>
    <w:rsid w:val="008D188B"/>
    <w:rsid w:val="008D1AB5"/>
    <w:rsid w:val="008D1BE3"/>
    <w:rsid w:val="008D1C99"/>
    <w:rsid w:val="008D1E86"/>
    <w:rsid w:val="008D1FBA"/>
    <w:rsid w:val="008D20C4"/>
    <w:rsid w:val="008D2180"/>
    <w:rsid w:val="008D2220"/>
    <w:rsid w:val="008D22C5"/>
    <w:rsid w:val="008D2319"/>
    <w:rsid w:val="008D23CF"/>
    <w:rsid w:val="008D255A"/>
    <w:rsid w:val="008D28D0"/>
    <w:rsid w:val="008D2B55"/>
    <w:rsid w:val="008D2C61"/>
    <w:rsid w:val="008D2D4B"/>
    <w:rsid w:val="008D30D3"/>
    <w:rsid w:val="008D35CD"/>
    <w:rsid w:val="008D35CE"/>
    <w:rsid w:val="008D35F7"/>
    <w:rsid w:val="008D3632"/>
    <w:rsid w:val="008D3791"/>
    <w:rsid w:val="008D3D30"/>
    <w:rsid w:val="008D3D3D"/>
    <w:rsid w:val="008D3D61"/>
    <w:rsid w:val="008D3DAB"/>
    <w:rsid w:val="008D3FA6"/>
    <w:rsid w:val="008D41B4"/>
    <w:rsid w:val="008D4404"/>
    <w:rsid w:val="008D45E2"/>
    <w:rsid w:val="008D4708"/>
    <w:rsid w:val="008D4A5E"/>
    <w:rsid w:val="008D4A95"/>
    <w:rsid w:val="008D4C41"/>
    <w:rsid w:val="008D4F7F"/>
    <w:rsid w:val="008D5074"/>
    <w:rsid w:val="008D52D9"/>
    <w:rsid w:val="008D5366"/>
    <w:rsid w:val="008D581D"/>
    <w:rsid w:val="008D58AF"/>
    <w:rsid w:val="008D5AD1"/>
    <w:rsid w:val="008D5F9E"/>
    <w:rsid w:val="008D626F"/>
    <w:rsid w:val="008D657E"/>
    <w:rsid w:val="008D66C3"/>
    <w:rsid w:val="008D683A"/>
    <w:rsid w:val="008D6843"/>
    <w:rsid w:val="008D6A21"/>
    <w:rsid w:val="008D6A71"/>
    <w:rsid w:val="008D6AB2"/>
    <w:rsid w:val="008D6BD5"/>
    <w:rsid w:val="008D6D3A"/>
    <w:rsid w:val="008D6D51"/>
    <w:rsid w:val="008D6D66"/>
    <w:rsid w:val="008D6DA6"/>
    <w:rsid w:val="008D6DEA"/>
    <w:rsid w:val="008D6E83"/>
    <w:rsid w:val="008D6FA5"/>
    <w:rsid w:val="008D7039"/>
    <w:rsid w:val="008D70AD"/>
    <w:rsid w:val="008D71BB"/>
    <w:rsid w:val="008D71F0"/>
    <w:rsid w:val="008D720D"/>
    <w:rsid w:val="008D721C"/>
    <w:rsid w:val="008D7221"/>
    <w:rsid w:val="008D728A"/>
    <w:rsid w:val="008D72E6"/>
    <w:rsid w:val="008D7487"/>
    <w:rsid w:val="008D74BF"/>
    <w:rsid w:val="008D7540"/>
    <w:rsid w:val="008D7584"/>
    <w:rsid w:val="008D75B7"/>
    <w:rsid w:val="008D76A7"/>
    <w:rsid w:val="008D785E"/>
    <w:rsid w:val="008D7ACC"/>
    <w:rsid w:val="008D7C77"/>
    <w:rsid w:val="008D7CAC"/>
    <w:rsid w:val="008D7DC7"/>
    <w:rsid w:val="008D7EBA"/>
    <w:rsid w:val="008D7F2B"/>
    <w:rsid w:val="008D7F8D"/>
    <w:rsid w:val="008D7FB3"/>
    <w:rsid w:val="008E00A4"/>
    <w:rsid w:val="008E0180"/>
    <w:rsid w:val="008E01E2"/>
    <w:rsid w:val="008E038D"/>
    <w:rsid w:val="008E0574"/>
    <w:rsid w:val="008E061B"/>
    <w:rsid w:val="008E0766"/>
    <w:rsid w:val="008E07F3"/>
    <w:rsid w:val="008E0A7A"/>
    <w:rsid w:val="008E0BD2"/>
    <w:rsid w:val="008E0D27"/>
    <w:rsid w:val="008E0DE1"/>
    <w:rsid w:val="008E1164"/>
    <w:rsid w:val="008E136F"/>
    <w:rsid w:val="008E13D8"/>
    <w:rsid w:val="008E1794"/>
    <w:rsid w:val="008E17F1"/>
    <w:rsid w:val="008E1900"/>
    <w:rsid w:val="008E192B"/>
    <w:rsid w:val="008E1B7E"/>
    <w:rsid w:val="008E1BC3"/>
    <w:rsid w:val="008E1CE1"/>
    <w:rsid w:val="008E1D2A"/>
    <w:rsid w:val="008E1E23"/>
    <w:rsid w:val="008E1FC8"/>
    <w:rsid w:val="008E2358"/>
    <w:rsid w:val="008E2516"/>
    <w:rsid w:val="008E2713"/>
    <w:rsid w:val="008E282F"/>
    <w:rsid w:val="008E2EDA"/>
    <w:rsid w:val="008E2F97"/>
    <w:rsid w:val="008E33CA"/>
    <w:rsid w:val="008E3481"/>
    <w:rsid w:val="008E34C1"/>
    <w:rsid w:val="008E35BE"/>
    <w:rsid w:val="008E3851"/>
    <w:rsid w:val="008E3886"/>
    <w:rsid w:val="008E3A5D"/>
    <w:rsid w:val="008E3B42"/>
    <w:rsid w:val="008E3BBB"/>
    <w:rsid w:val="008E3BF9"/>
    <w:rsid w:val="008E3D06"/>
    <w:rsid w:val="008E3DB2"/>
    <w:rsid w:val="008E3E2E"/>
    <w:rsid w:val="008E4008"/>
    <w:rsid w:val="008E4373"/>
    <w:rsid w:val="008E440B"/>
    <w:rsid w:val="008E456C"/>
    <w:rsid w:val="008E461D"/>
    <w:rsid w:val="008E473C"/>
    <w:rsid w:val="008E49F0"/>
    <w:rsid w:val="008E4ADA"/>
    <w:rsid w:val="008E4AF7"/>
    <w:rsid w:val="008E4CF9"/>
    <w:rsid w:val="008E51E0"/>
    <w:rsid w:val="008E51E7"/>
    <w:rsid w:val="008E52F4"/>
    <w:rsid w:val="008E541B"/>
    <w:rsid w:val="008E5576"/>
    <w:rsid w:val="008E5691"/>
    <w:rsid w:val="008E5719"/>
    <w:rsid w:val="008E581E"/>
    <w:rsid w:val="008E58CF"/>
    <w:rsid w:val="008E59E5"/>
    <w:rsid w:val="008E5C41"/>
    <w:rsid w:val="008E5C7C"/>
    <w:rsid w:val="008E5CC0"/>
    <w:rsid w:val="008E5DF0"/>
    <w:rsid w:val="008E5E8F"/>
    <w:rsid w:val="008E5F3C"/>
    <w:rsid w:val="008E62EA"/>
    <w:rsid w:val="008E6473"/>
    <w:rsid w:val="008E64D0"/>
    <w:rsid w:val="008E64D2"/>
    <w:rsid w:val="008E6522"/>
    <w:rsid w:val="008E6532"/>
    <w:rsid w:val="008E660B"/>
    <w:rsid w:val="008E676F"/>
    <w:rsid w:val="008E67B9"/>
    <w:rsid w:val="008E69EC"/>
    <w:rsid w:val="008E6B55"/>
    <w:rsid w:val="008E6CF9"/>
    <w:rsid w:val="008E6DFC"/>
    <w:rsid w:val="008E6E2E"/>
    <w:rsid w:val="008E6EBF"/>
    <w:rsid w:val="008E718C"/>
    <w:rsid w:val="008E7536"/>
    <w:rsid w:val="008E7660"/>
    <w:rsid w:val="008E78A4"/>
    <w:rsid w:val="008E7CB7"/>
    <w:rsid w:val="008E7E87"/>
    <w:rsid w:val="008E7F86"/>
    <w:rsid w:val="008F01EB"/>
    <w:rsid w:val="008F029C"/>
    <w:rsid w:val="008F03A8"/>
    <w:rsid w:val="008F03EA"/>
    <w:rsid w:val="008F07AF"/>
    <w:rsid w:val="008F0961"/>
    <w:rsid w:val="008F09F9"/>
    <w:rsid w:val="008F0B7C"/>
    <w:rsid w:val="008F0E90"/>
    <w:rsid w:val="008F0FBF"/>
    <w:rsid w:val="008F10C5"/>
    <w:rsid w:val="008F11B4"/>
    <w:rsid w:val="008F15D7"/>
    <w:rsid w:val="008F1882"/>
    <w:rsid w:val="008F1971"/>
    <w:rsid w:val="008F1B26"/>
    <w:rsid w:val="008F1B2C"/>
    <w:rsid w:val="008F1B68"/>
    <w:rsid w:val="008F1B8A"/>
    <w:rsid w:val="008F1B94"/>
    <w:rsid w:val="008F1E13"/>
    <w:rsid w:val="008F212F"/>
    <w:rsid w:val="008F2351"/>
    <w:rsid w:val="008F2953"/>
    <w:rsid w:val="008F2A11"/>
    <w:rsid w:val="008F2A19"/>
    <w:rsid w:val="008F2A5E"/>
    <w:rsid w:val="008F2ABE"/>
    <w:rsid w:val="008F2B0A"/>
    <w:rsid w:val="008F2BE5"/>
    <w:rsid w:val="008F2D73"/>
    <w:rsid w:val="008F33E5"/>
    <w:rsid w:val="008F3470"/>
    <w:rsid w:val="008F39E9"/>
    <w:rsid w:val="008F3A37"/>
    <w:rsid w:val="008F3B62"/>
    <w:rsid w:val="008F3BD6"/>
    <w:rsid w:val="008F3C2A"/>
    <w:rsid w:val="008F3C44"/>
    <w:rsid w:val="008F3C52"/>
    <w:rsid w:val="008F3C75"/>
    <w:rsid w:val="008F3F92"/>
    <w:rsid w:val="008F4123"/>
    <w:rsid w:val="008F4222"/>
    <w:rsid w:val="008F43EB"/>
    <w:rsid w:val="008F4496"/>
    <w:rsid w:val="008F45F3"/>
    <w:rsid w:val="008F46D9"/>
    <w:rsid w:val="008F4AE4"/>
    <w:rsid w:val="008F4DBD"/>
    <w:rsid w:val="008F504F"/>
    <w:rsid w:val="008F52B7"/>
    <w:rsid w:val="008F5450"/>
    <w:rsid w:val="008F5513"/>
    <w:rsid w:val="008F58DC"/>
    <w:rsid w:val="008F59EB"/>
    <w:rsid w:val="008F5A48"/>
    <w:rsid w:val="008F5AFE"/>
    <w:rsid w:val="008F5CCE"/>
    <w:rsid w:val="008F5F58"/>
    <w:rsid w:val="008F5FC1"/>
    <w:rsid w:val="008F63CF"/>
    <w:rsid w:val="008F673E"/>
    <w:rsid w:val="008F68AE"/>
    <w:rsid w:val="008F6940"/>
    <w:rsid w:val="008F69E6"/>
    <w:rsid w:val="008F6B30"/>
    <w:rsid w:val="008F6E76"/>
    <w:rsid w:val="008F6F05"/>
    <w:rsid w:val="008F72DA"/>
    <w:rsid w:val="008F730F"/>
    <w:rsid w:val="008F76EA"/>
    <w:rsid w:val="008F7C1D"/>
    <w:rsid w:val="008F7C54"/>
    <w:rsid w:val="00900050"/>
    <w:rsid w:val="009000F7"/>
    <w:rsid w:val="009001F2"/>
    <w:rsid w:val="009002A0"/>
    <w:rsid w:val="009004AE"/>
    <w:rsid w:val="009004DF"/>
    <w:rsid w:val="00900975"/>
    <w:rsid w:val="00900A0E"/>
    <w:rsid w:val="00900A2E"/>
    <w:rsid w:val="00900C35"/>
    <w:rsid w:val="00900C5B"/>
    <w:rsid w:val="00900D01"/>
    <w:rsid w:val="0090101E"/>
    <w:rsid w:val="009015C5"/>
    <w:rsid w:val="0090165C"/>
    <w:rsid w:val="00901A5C"/>
    <w:rsid w:val="00901B17"/>
    <w:rsid w:val="00901B53"/>
    <w:rsid w:val="00901C30"/>
    <w:rsid w:val="00901D3F"/>
    <w:rsid w:val="00901D93"/>
    <w:rsid w:val="00901DB9"/>
    <w:rsid w:val="00901EA4"/>
    <w:rsid w:val="00901EC9"/>
    <w:rsid w:val="00901EF4"/>
    <w:rsid w:val="00902003"/>
    <w:rsid w:val="00902315"/>
    <w:rsid w:val="0090253F"/>
    <w:rsid w:val="00902571"/>
    <w:rsid w:val="0090298D"/>
    <w:rsid w:val="00902ABD"/>
    <w:rsid w:val="00902B1F"/>
    <w:rsid w:val="00902B8F"/>
    <w:rsid w:val="00902E37"/>
    <w:rsid w:val="00902E38"/>
    <w:rsid w:val="00902F96"/>
    <w:rsid w:val="00903020"/>
    <w:rsid w:val="009032A9"/>
    <w:rsid w:val="009032AC"/>
    <w:rsid w:val="00903477"/>
    <w:rsid w:val="0090393F"/>
    <w:rsid w:val="009039FB"/>
    <w:rsid w:val="00903BCD"/>
    <w:rsid w:val="00903F9E"/>
    <w:rsid w:val="00904221"/>
    <w:rsid w:val="009042A3"/>
    <w:rsid w:val="009042D1"/>
    <w:rsid w:val="00904649"/>
    <w:rsid w:val="009046C4"/>
    <w:rsid w:val="00904756"/>
    <w:rsid w:val="00904AAE"/>
    <w:rsid w:val="00904E77"/>
    <w:rsid w:val="00905196"/>
    <w:rsid w:val="009051E0"/>
    <w:rsid w:val="009051E1"/>
    <w:rsid w:val="0090522A"/>
    <w:rsid w:val="0090522C"/>
    <w:rsid w:val="009053DD"/>
    <w:rsid w:val="00905419"/>
    <w:rsid w:val="0090561D"/>
    <w:rsid w:val="0090567F"/>
    <w:rsid w:val="009056BC"/>
    <w:rsid w:val="009056C0"/>
    <w:rsid w:val="00905723"/>
    <w:rsid w:val="0090585A"/>
    <w:rsid w:val="009058E1"/>
    <w:rsid w:val="00905A43"/>
    <w:rsid w:val="00905C52"/>
    <w:rsid w:val="00905ECE"/>
    <w:rsid w:val="0090612B"/>
    <w:rsid w:val="009062F2"/>
    <w:rsid w:val="00906305"/>
    <w:rsid w:val="00906424"/>
    <w:rsid w:val="0090658B"/>
    <w:rsid w:val="009065CD"/>
    <w:rsid w:val="00906A98"/>
    <w:rsid w:val="00906B2C"/>
    <w:rsid w:val="00906B40"/>
    <w:rsid w:val="00906BB6"/>
    <w:rsid w:val="00906C17"/>
    <w:rsid w:val="00906C43"/>
    <w:rsid w:val="00906CA7"/>
    <w:rsid w:val="00906ED2"/>
    <w:rsid w:val="00906EF5"/>
    <w:rsid w:val="009070E7"/>
    <w:rsid w:val="00907277"/>
    <w:rsid w:val="0090731D"/>
    <w:rsid w:val="0090751F"/>
    <w:rsid w:val="0090786E"/>
    <w:rsid w:val="00907D7B"/>
    <w:rsid w:val="00907DB8"/>
    <w:rsid w:val="00907F8F"/>
    <w:rsid w:val="00907FD8"/>
    <w:rsid w:val="00910308"/>
    <w:rsid w:val="00910335"/>
    <w:rsid w:val="00910484"/>
    <w:rsid w:val="00910507"/>
    <w:rsid w:val="009105D5"/>
    <w:rsid w:val="00910DE3"/>
    <w:rsid w:val="00910ECC"/>
    <w:rsid w:val="00910FAB"/>
    <w:rsid w:val="00911010"/>
    <w:rsid w:val="0091107A"/>
    <w:rsid w:val="00911287"/>
    <w:rsid w:val="009112E8"/>
    <w:rsid w:val="009112F9"/>
    <w:rsid w:val="00911310"/>
    <w:rsid w:val="00911798"/>
    <w:rsid w:val="009119EA"/>
    <w:rsid w:val="00911DDB"/>
    <w:rsid w:val="009120C0"/>
    <w:rsid w:val="009121E9"/>
    <w:rsid w:val="009122FB"/>
    <w:rsid w:val="0091260B"/>
    <w:rsid w:val="0091264C"/>
    <w:rsid w:val="00912676"/>
    <w:rsid w:val="00912703"/>
    <w:rsid w:val="0091273C"/>
    <w:rsid w:val="00912807"/>
    <w:rsid w:val="00912B1F"/>
    <w:rsid w:val="00912CD0"/>
    <w:rsid w:val="00912D69"/>
    <w:rsid w:val="00912E1C"/>
    <w:rsid w:val="00912F29"/>
    <w:rsid w:val="00912FC5"/>
    <w:rsid w:val="009135CA"/>
    <w:rsid w:val="00913713"/>
    <w:rsid w:val="0091380F"/>
    <w:rsid w:val="0091392C"/>
    <w:rsid w:val="00913B4A"/>
    <w:rsid w:val="00913BE5"/>
    <w:rsid w:val="00913F15"/>
    <w:rsid w:val="009142EF"/>
    <w:rsid w:val="009143E6"/>
    <w:rsid w:val="00914618"/>
    <w:rsid w:val="00914685"/>
    <w:rsid w:val="00914786"/>
    <w:rsid w:val="009148A0"/>
    <w:rsid w:val="00914BEA"/>
    <w:rsid w:val="00914C15"/>
    <w:rsid w:val="00914EBC"/>
    <w:rsid w:val="00915038"/>
    <w:rsid w:val="00915053"/>
    <w:rsid w:val="0091509F"/>
    <w:rsid w:val="00915531"/>
    <w:rsid w:val="00915BC0"/>
    <w:rsid w:val="00915E1B"/>
    <w:rsid w:val="00916054"/>
    <w:rsid w:val="009160EA"/>
    <w:rsid w:val="00916381"/>
    <w:rsid w:val="009169F0"/>
    <w:rsid w:val="00916A3A"/>
    <w:rsid w:val="00916C6E"/>
    <w:rsid w:val="00916EBD"/>
    <w:rsid w:val="009170BF"/>
    <w:rsid w:val="00917197"/>
    <w:rsid w:val="009171A1"/>
    <w:rsid w:val="00917377"/>
    <w:rsid w:val="00917525"/>
    <w:rsid w:val="00917563"/>
    <w:rsid w:val="00917715"/>
    <w:rsid w:val="00917894"/>
    <w:rsid w:val="00917A5A"/>
    <w:rsid w:val="00917B4E"/>
    <w:rsid w:val="00917C9A"/>
    <w:rsid w:val="00917CB6"/>
    <w:rsid w:val="009207B1"/>
    <w:rsid w:val="009207E6"/>
    <w:rsid w:val="00920889"/>
    <w:rsid w:val="00920C47"/>
    <w:rsid w:val="00920C6A"/>
    <w:rsid w:val="00920CAB"/>
    <w:rsid w:val="00920DAD"/>
    <w:rsid w:val="0092107D"/>
    <w:rsid w:val="0092126A"/>
    <w:rsid w:val="009212AB"/>
    <w:rsid w:val="009212D3"/>
    <w:rsid w:val="0092134D"/>
    <w:rsid w:val="0092146A"/>
    <w:rsid w:val="009217F5"/>
    <w:rsid w:val="00921882"/>
    <w:rsid w:val="00921C40"/>
    <w:rsid w:val="00921C7A"/>
    <w:rsid w:val="00921CC9"/>
    <w:rsid w:val="00921D3E"/>
    <w:rsid w:val="00921D5E"/>
    <w:rsid w:val="00921F85"/>
    <w:rsid w:val="00921F90"/>
    <w:rsid w:val="009220E3"/>
    <w:rsid w:val="00922130"/>
    <w:rsid w:val="009221E4"/>
    <w:rsid w:val="0092259B"/>
    <w:rsid w:val="009228C1"/>
    <w:rsid w:val="0092299D"/>
    <w:rsid w:val="00922C4A"/>
    <w:rsid w:val="00922F44"/>
    <w:rsid w:val="00922F76"/>
    <w:rsid w:val="00923014"/>
    <w:rsid w:val="009230D0"/>
    <w:rsid w:val="00923246"/>
    <w:rsid w:val="00923316"/>
    <w:rsid w:val="00923446"/>
    <w:rsid w:val="00923489"/>
    <w:rsid w:val="009235C2"/>
    <w:rsid w:val="00923891"/>
    <w:rsid w:val="00923921"/>
    <w:rsid w:val="009239AF"/>
    <w:rsid w:val="009239D4"/>
    <w:rsid w:val="00923BBE"/>
    <w:rsid w:val="00923C2C"/>
    <w:rsid w:val="00923CAF"/>
    <w:rsid w:val="00923D56"/>
    <w:rsid w:val="00923E24"/>
    <w:rsid w:val="00923E8F"/>
    <w:rsid w:val="009240E7"/>
    <w:rsid w:val="00924197"/>
    <w:rsid w:val="009241FD"/>
    <w:rsid w:val="00924283"/>
    <w:rsid w:val="00924302"/>
    <w:rsid w:val="009245D8"/>
    <w:rsid w:val="00924639"/>
    <w:rsid w:val="00924657"/>
    <w:rsid w:val="00924806"/>
    <w:rsid w:val="00924DAB"/>
    <w:rsid w:val="00924F11"/>
    <w:rsid w:val="00924F19"/>
    <w:rsid w:val="0092501D"/>
    <w:rsid w:val="00925111"/>
    <w:rsid w:val="0092517F"/>
    <w:rsid w:val="0092522E"/>
    <w:rsid w:val="00925424"/>
    <w:rsid w:val="0092568A"/>
    <w:rsid w:val="009257BD"/>
    <w:rsid w:val="009259CE"/>
    <w:rsid w:val="00925AAA"/>
    <w:rsid w:val="00925DEE"/>
    <w:rsid w:val="00925F07"/>
    <w:rsid w:val="0092600B"/>
    <w:rsid w:val="00926033"/>
    <w:rsid w:val="00926047"/>
    <w:rsid w:val="0092619D"/>
    <w:rsid w:val="00926257"/>
    <w:rsid w:val="009262C7"/>
    <w:rsid w:val="0092630C"/>
    <w:rsid w:val="009264F5"/>
    <w:rsid w:val="00926552"/>
    <w:rsid w:val="00926666"/>
    <w:rsid w:val="0092684C"/>
    <w:rsid w:val="009268A0"/>
    <w:rsid w:val="009269B6"/>
    <w:rsid w:val="00926B8B"/>
    <w:rsid w:val="00926D17"/>
    <w:rsid w:val="00926D41"/>
    <w:rsid w:val="00926E64"/>
    <w:rsid w:val="00926FF4"/>
    <w:rsid w:val="0092709A"/>
    <w:rsid w:val="00927253"/>
    <w:rsid w:val="009273DC"/>
    <w:rsid w:val="0092750D"/>
    <w:rsid w:val="00927622"/>
    <w:rsid w:val="009277D0"/>
    <w:rsid w:val="00927849"/>
    <w:rsid w:val="009278B1"/>
    <w:rsid w:val="0092795E"/>
    <w:rsid w:val="00927D53"/>
    <w:rsid w:val="00927DC2"/>
    <w:rsid w:val="00927F10"/>
    <w:rsid w:val="00927F81"/>
    <w:rsid w:val="00927FC2"/>
    <w:rsid w:val="0093019B"/>
    <w:rsid w:val="0093044A"/>
    <w:rsid w:val="009306EB"/>
    <w:rsid w:val="009307FE"/>
    <w:rsid w:val="00930905"/>
    <w:rsid w:val="00930A49"/>
    <w:rsid w:val="00930C0A"/>
    <w:rsid w:val="00930E00"/>
    <w:rsid w:val="00930E76"/>
    <w:rsid w:val="00930ECF"/>
    <w:rsid w:val="00930ED3"/>
    <w:rsid w:val="009316F4"/>
    <w:rsid w:val="00931B15"/>
    <w:rsid w:val="00931B99"/>
    <w:rsid w:val="00931BE6"/>
    <w:rsid w:val="00931C54"/>
    <w:rsid w:val="00931ED3"/>
    <w:rsid w:val="00931F57"/>
    <w:rsid w:val="009322DB"/>
    <w:rsid w:val="00932693"/>
    <w:rsid w:val="009328F0"/>
    <w:rsid w:val="009329CF"/>
    <w:rsid w:val="00932C53"/>
    <w:rsid w:val="00932E33"/>
    <w:rsid w:val="00933223"/>
    <w:rsid w:val="00933336"/>
    <w:rsid w:val="009333F6"/>
    <w:rsid w:val="009335CF"/>
    <w:rsid w:val="009339F3"/>
    <w:rsid w:val="00933B0C"/>
    <w:rsid w:val="00933C0D"/>
    <w:rsid w:val="00933D1E"/>
    <w:rsid w:val="00933DC5"/>
    <w:rsid w:val="009341E3"/>
    <w:rsid w:val="009343B0"/>
    <w:rsid w:val="009345EE"/>
    <w:rsid w:val="00934805"/>
    <w:rsid w:val="00934834"/>
    <w:rsid w:val="00934840"/>
    <w:rsid w:val="00934A4C"/>
    <w:rsid w:val="00934A73"/>
    <w:rsid w:val="00934AAA"/>
    <w:rsid w:val="00934B81"/>
    <w:rsid w:val="00934C76"/>
    <w:rsid w:val="00934E45"/>
    <w:rsid w:val="00934EBF"/>
    <w:rsid w:val="00935009"/>
    <w:rsid w:val="0093521C"/>
    <w:rsid w:val="0093531A"/>
    <w:rsid w:val="00935BD3"/>
    <w:rsid w:val="009360F1"/>
    <w:rsid w:val="009367D5"/>
    <w:rsid w:val="00936843"/>
    <w:rsid w:val="00936A08"/>
    <w:rsid w:val="00936AED"/>
    <w:rsid w:val="00936B59"/>
    <w:rsid w:val="00936BA0"/>
    <w:rsid w:val="00936CE9"/>
    <w:rsid w:val="00936DB8"/>
    <w:rsid w:val="00936E1A"/>
    <w:rsid w:val="00936E96"/>
    <w:rsid w:val="00937038"/>
    <w:rsid w:val="00937539"/>
    <w:rsid w:val="00937652"/>
    <w:rsid w:val="009376E4"/>
    <w:rsid w:val="009377B6"/>
    <w:rsid w:val="00937A06"/>
    <w:rsid w:val="00937CC4"/>
    <w:rsid w:val="00937D0E"/>
    <w:rsid w:val="00937EAB"/>
    <w:rsid w:val="00937F50"/>
    <w:rsid w:val="00940039"/>
    <w:rsid w:val="009402D5"/>
    <w:rsid w:val="009403B9"/>
    <w:rsid w:val="0094075D"/>
    <w:rsid w:val="00940A5F"/>
    <w:rsid w:val="00940B00"/>
    <w:rsid w:val="00940C5E"/>
    <w:rsid w:val="00941021"/>
    <w:rsid w:val="00941163"/>
    <w:rsid w:val="0094122E"/>
    <w:rsid w:val="0094137E"/>
    <w:rsid w:val="009413D0"/>
    <w:rsid w:val="009413E3"/>
    <w:rsid w:val="0094155E"/>
    <w:rsid w:val="009415D8"/>
    <w:rsid w:val="009415E4"/>
    <w:rsid w:val="00941611"/>
    <w:rsid w:val="009417DB"/>
    <w:rsid w:val="00941ADD"/>
    <w:rsid w:val="00941B1F"/>
    <w:rsid w:val="00941B2C"/>
    <w:rsid w:val="00941E73"/>
    <w:rsid w:val="00942291"/>
    <w:rsid w:val="009422FA"/>
    <w:rsid w:val="009423B7"/>
    <w:rsid w:val="00942450"/>
    <w:rsid w:val="00942561"/>
    <w:rsid w:val="00942605"/>
    <w:rsid w:val="0094279C"/>
    <w:rsid w:val="00942832"/>
    <w:rsid w:val="0094297A"/>
    <w:rsid w:val="00942A25"/>
    <w:rsid w:val="00942CA8"/>
    <w:rsid w:val="00942DF0"/>
    <w:rsid w:val="009432D5"/>
    <w:rsid w:val="00943389"/>
    <w:rsid w:val="009433AF"/>
    <w:rsid w:val="009434B2"/>
    <w:rsid w:val="009435EF"/>
    <w:rsid w:val="00943609"/>
    <w:rsid w:val="00943760"/>
    <w:rsid w:val="0094380E"/>
    <w:rsid w:val="0094388D"/>
    <w:rsid w:val="00943A6A"/>
    <w:rsid w:val="00943B61"/>
    <w:rsid w:val="00943DCB"/>
    <w:rsid w:val="00943ED1"/>
    <w:rsid w:val="00944205"/>
    <w:rsid w:val="00944295"/>
    <w:rsid w:val="00944327"/>
    <w:rsid w:val="00944417"/>
    <w:rsid w:val="0094474D"/>
    <w:rsid w:val="009447B3"/>
    <w:rsid w:val="00944A7D"/>
    <w:rsid w:val="00944AF6"/>
    <w:rsid w:val="00944C93"/>
    <w:rsid w:val="00944DEA"/>
    <w:rsid w:val="00944EB1"/>
    <w:rsid w:val="0094506A"/>
    <w:rsid w:val="00945126"/>
    <w:rsid w:val="009451E0"/>
    <w:rsid w:val="0094528E"/>
    <w:rsid w:val="0094529A"/>
    <w:rsid w:val="0094553B"/>
    <w:rsid w:val="009455C1"/>
    <w:rsid w:val="00945812"/>
    <w:rsid w:val="00945A97"/>
    <w:rsid w:val="00945AA9"/>
    <w:rsid w:val="00945C00"/>
    <w:rsid w:val="00945C7C"/>
    <w:rsid w:val="00945D12"/>
    <w:rsid w:val="00945D75"/>
    <w:rsid w:val="00945F21"/>
    <w:rsid w:val="009461C4"/>
    <w:rsid w:val="00946298"/>
    <w:rsid w:val="009462D8"/>
    <w:rsid w:val="009462F3"/>
    <w:rsid w:val="0094638E"/>
    <w:rsid w:val="00946708"/>
    <w:rsid w:val="009467BE"/>
    <w:rsid w:val="00946895"/>
    <w:rsid w:val="00946A8E"/>
    <w:rsid w:val="00946B20"/>
    <w:rsid w:val="00947137"/>
    <w:rsid w:val="009473F2"/>
    <w:rsid w:val="00947875"/>
    <w:rsid w:val="009479AB"/>
    <w:rsid w:val="00947D9C"/>
    <w:rsid w:val="00947DC6"/>
    <w:rsid w:val="00947E82"/>
    <w:rsid w:val="00947EBD"/>
    <w:rsid w:val="0095008A"/>
    <w:rsid w:val="00950113"/>
    <w:rsid w:val="009501E7"/>
    <w:rsid w:val="0095025C"/>
    <w:rsid w:val="009502D0"/>
    <w:rsid w:val="00950528"/>
    <w:rsid w:val="009505D5"/>
    <w:rsid w:val="00950838"/>
    <w:rsid w:val="00950BF6"/>
    <w:rsid w:val="009510C1"/>
    <w:rsid w:val="009511BB"/>
    <w:rsid w:val="00951201"/>
    <w:rsid w:val="009512E7"/>
    <w:rsid w:val="00951438"/>
    <w:rsid w:val="00951861"/>
    <w:rsid w:val="0095187B"/>
    <w:rsid w:val="00951C26"/>
    <w:rsid w:val="00951DE8"/>
    <w:rsid w:val="00952013"/>
    <w:rsid w:val="0095251D"/>
    <w:rsid w:val="009525E7"/>
    <w:rsid w:val="0095292D"/>
    <w:rsid w:val="009529D7"/>
    <w:rsid w:val="00952A9A"/>
    <w:rsid w:val="00952C69"/>
    <w:rsid w:val="00952D32"/>
    <w:rsid w:val="00952D8C"/>
    <w:rsid w:val="00953027"/>
    <w:rsid w:val="0095316A"/>
    <w:rsid w:val="0095329A"/>
    <w:rsid w:val="0095351B"/>
    <w:rsid w:val="00953569"/>
    <w:rsid w:val="009536D6"/>
    <w:rsid w:val="00953779"/>
    <w:rsid w:val="00953944"/>
    <w:rsid w:val="00953963"/>
    <w:rsid w:val="00953A72"/>
    <w:rsid w:val="00953B21"/>
    <w:rsid w:val="00953B7E"/>
    <w:rsid w:val="00953BCC"/>
    <w:rsid w:val="00953D29"/>
    <w:rsid w:val="00953F5E"/>
    <w:rsid w:val="0095415A"/>
    <w:rsid w:val="0095461F"/>
    <w:rsid w:val="00954673"/>
    <w:rsid w:val="00954744"/>
    <w:rsid w:val="009548BD"/>
    <w:rsid w:val="0095495A"/>
    <w:rsid w:val="00954A70"/>
    <w:rsid w:val="00954AAA"/>
    <w:rsid w:val="00954E36"/>
    <w:rsid w:val="00954F2F"/>
    <w:rsid w:val="00954FF1"/>
    <w:rsid w:val="00955154"/>
    <w:rsid w:val="0095577E"/>
    <w:rsid w:val="0095590B"/>
    <w:rsid w:val="009559AB"/>
    <w:rsid w:val="00955B34"/>
    <w:rsid w:val="00955CA6"/>
    <w:rsid w:val="00955D07"/>
    <w:rsid w:val="00955FC5"/>
    <w:rsid w:val="0095613D"/>
    <w:rsid w:val="00956141"/>
    <w:rsid w:val="009561AF"/>
    <w:rsid w:val="009563D6"/>
    <w:rsid w:val="009567E0"/>
    <w:rsid w:val="009569B2"/>
    <w:rsid w:val="00956A4D"/>
    <w:rsid w:val="00956B22"/>
    <w:rsid w:val="00956BA2"/>
    <w:rsid w:val="00956D0F"/>
    <w:rsid w:val="00956D87"/>
    <w:rsid w:val="00956DC1"/>
    <w:rsid w:val="00956E2B"/>
    <w:rsid w:val="00956FEC"/>
    <w:rsid w:val="00957078"/>
    <w:rsid w:val="009570E5"/>
    <w:rsid w:val="00957134"/>
    <w:rsid w:val="009573B8"/>
    <w:rsid w:val="009573C2"/>
    <w:rsid w:val="009573E8"/>
    <w:rsid w:val="0095758E"/>
    <w:rsid w:val="00957604"/>
    <w:rsid w:val="0095795C"/>
    <w:rsid w:val="00957996"/>
    <w:rsid w:val="00957A4D"/>
    <w:rsid w:val="00957C83"/>
    <w:rsid w:val="00957FC8"/>
    <w:rsid w:val="0096019B"/>
    <w:rsid w:val="009601F2"/>
    <w:rsid w:val="00960267"/>
    <w:rsid w:val="0096026C"/>
    <w:rsid w:val="00960278"/>
    <w:rsid w:val="009605BC"/>
    <w:rsid w:val="0096061C"/>
    <w:rsid w:val="00960690"/>
    <w:rsid w:val="0096077B"/>
    <w:rsid w:val="009607D2"/>
    <w:rsid w:val="0096086B"/>
    <w:rsid w:val="00960D2A"/>
    <w:rsid w:val="00960D91"/>
    <w:rsid w:val="00960DC0"/>
    <w:rsid w:val="009612B5"/>
    <w:rsid w:val="00961378"/>
    <w:rsid w:val="009614F2"/>
    <w:rsid w:val="0096154F"/>
    <w:rsid w:val="00961663"/>
    <w:rsid w:val="009617B2"/>
    <w:rsid w:val="00961EB4"/>
    <w:rsid w:val="00961FFA"/>
    <w:rsid w:val="00962008"/>
    <w:rsid w:val="009622E4"/>
    <w:rsid w:val="0096271B"/>
    <w:rsid w:val="009629E2"/>
    <w:rsid w:val="00962B2E"/>
    <w:rsid w:val="00962BCF"/>
    <w:rsid w:val="00962CDE"/>
    <w:rsid w:val="00962D59"/>
    <w:rsid w:val="00962E7D"/>
    <w:rsid w:val="00962EB8"/>
    <w:rsid w:val="0096304E"/>
    <w:rsid w:val="009630B2"/>
    <w:rsid w:val="00963152"/>
    <w:rsid w:val="0096328C"/>
    <w:rsid w:val="0096388C"/>
    <w:rsid w:val="009639DA"/>
    <w:rsid w:val="00963CE1"/>
    <w:rsid w:val="00963D1A"/>
    <w:rsid w:val="00963F6D"/>
    <w:rsid w:val="0096421F"/>
    <w:rsid w:val="009642FA"/>
    <w:rsid w:val="009644FE"/>
    <w:rsid w:val="00964549"/>
    <w:rsid w:val="009645D5"/>
    <w:rsid w:val="0096468C"/>
    <w:rsid w:val="00964923"/>
    <w:rsid w:val="00964A1A"/>
    <w:rsid w:val="00964CBB"/>
    <w:rsid w:val="00964D5D"/>
    <w:rsid w:val="00965413"/>
    <w:rsid w:val="0096547C"/>
    <w:rsid w:val="00965716"/>
    <w:rsid w:val="009659C6"/>
    <w:rsid w:val="00965A09"/>
    <w:rsid w:val="00965A56"/>
    <w:rsid w:val="00965C70"/>
    <w:rsid w:val="00965C96"/>
    <w:rsid w:val="00965D46"/>
    <w:rsid w:val="00965EBF"/>
    <w:rsid w:val="009660C6"/>
    <w:rsid w:val="0096619A"/>
    <w:rsid w:val="0096639D"/>
    <w:rsid w:val="009663EE"/>
    <w:rsid w:val="009664EE"/>
    <w:rsid w:val="00966857"/>
    <w:rsid w:val="00966871"/>
    <w:rsid w:val="00966A02"/>
    <w:rsid w:val="00966A74"/>
    <w:rsid w:val="00966A9C"/>
    <w:rsid w:val="00966B87"/>
    <w:rsid w:val="00966C0A"/>
    <w:rsid w:val="00966CE9"/>
    <w:rsid w:val="00966F07"/>
    <w:rsid w:val="00967193"/>
    <w:rsid w:val="009672A0"/>
    <w:rsid w:val="009672F3"/>
    <w:rsid w:val="009674B0"/>
    <w:rsid w:val="009675BF"/>
    <w:rsid w:val="009676B7"/>
    <w:rsid w:val="00967B77"/>
    <w:rsid w:val="00967DBF"/>
    <w:rsid w:val="00967DFA"/>
    <w:rsid w:val="00967E9F"/>
    <w:rsid w:val="00967F12"/>
    <w:rsid w:val="00967F2C"/>
    <w:rsid w:val="00967F9E"/>
    <w:rsid w:val="009700FF"/>
    <w:rsid w:val="0097021E"/>
    <w:rsid w:val="009705AE"/>
    <w:rsid w:val="00970644"/>
    <w:rsid w:val="0097066E"/>
    <w:rsid w:val="009706EE"/>
    <w:rsid w:val="009707BA"/>
    <w:rsid w:val="009707F4"/>
    <w:rsid w:val="00970819"/>
    <w:rsid w:val="00970A16"/>
    <w:rsid w:val="00970A94"/>
    <w:rsid w:val="00970ADC"/>
    <w:rsid w:val="00970B55"/>
    <w:rsid w:val="00970B73"/>
    <w:rsid w:val="00970BB8"/>
    <w:rsid w:val="00970D14"/>
    <w:rsid w:val="00970DD5"/>
    <w:rsid w:val="00971331"/>
    <w:rsid w:val="009715E3"/>
    <w:rsid w:val="009716E1"/>
    <w:rsid w:val="0097173D"/>
    <w:rsid w:val="009717B7"/>
    <w:rsid w:val="00971AC0"/>
    <w:rsid w:val="00971AF0"/>
    <w:rsid w:val="00971ED6"/>
    <w:rsid w:val="00971FC8"/>
    <w:rsid w:val="009721B4"/>
    <w:rsid w:val="00972325"/>
    <w:rsid w:val="009726F0"/>
    <w:rsid w:val="00972C89"/>
    <w:rsid w:val="00972D03"/>
    <w:rsid w:val="00972E8B"/>
    <w:rsid w:val="00972F0C"/>
    <w:rsid w:val="009732FC"/>
    <w:rsid w:val="009733C6"/>
    <w:rsid w:val="009735FE"/>
    <w:rsid w:val="00973664"/>
    <w:rsid w:val="009737A7"/>
    <w:rsid w:val="00973AC1"/>
    <w:rsid w:val="00973C4C"/>
    <w:rsid w:val="00973E66"/>
    <w:rsid w:val="00973E71"/>
    <w:rsid w:val="00973FFF"/>
    <w:rsid w:val="00974024"/>
    <w:rsid w:val="00974163"/>
    <w:rsid w:val="0097455C"/>
    <w:rsid w:val="009749E5"/>
    <w:rsid w:val="00974A72"/>
    <w:rsid w:val="00974E09"/>
    <w:rsid w:val="00974E38"/>
    <w:rsid w:val="00975026"/>
    <w:rsid w:val="0097555C"/>
    <w:rsid w:val="00975583"/>
    <w:rsid w:val="009758FD"/>
    <w:rsid w:val="00975A94"/>
    <w:rsid w:val="00975C4E"/>
    <w:rsid w:val="00975CAD"/>
    <w:rsid w:val="00976045"/>
    <w:rsid w:val="009760D5"/>
    <w:rsid w:val="0097613D"/>
    <w:rsid w:val="009762A7"/>
    <w:rsid w:val="00976353"/>
    <w:rsid w:val="00976354"/>
    <w:rsid w:val="009766C1"/>
    <w:rsid w:val="0097677A"/>
    <w:rsid w:val="009769EE"/>
    <w:rsid w:val="00976A69"/>
    <w:rsid w:val="00976D34"/>
    <w:rsid w:val="00976E11"/>
    <w:rsid w:val="00976FAE"/>
    <w:rsid w:val="00977060"/>
    <w:rsid w:val="0097725F"/>
    <w:rsid w:val="00977328"/>
    <w:rsid w:val="009775E2"/>
    <w:rsid w:val="0097768A"/>
    <w:rsid w:val="00977763"/>
    <w:rsid w:val="0097789D"/>
    <w:rsid w:val="009779F8"/>
    <w:rsid w:val="00977C35"/>
    <w:rsid w:val="00977D25"/>
    <w:rsid w:val="00977D9F"/>
    <w:rsid w:val="00977E5E"/>
    <w:rsid w:val="00977ECA"/>
    <w:rsid w:val="00980239"/>
    <w:rsid w:val="009802AF"/>
    <w:rsid w:val="0098058E"/>
    <w:rsid w:val="00980602"/>
    <w:rsid w:val="00980771"/>
    <w:rsid w:val="00980848"/>
    <w:rsid w:val="00980908"/>
    <w:rsid w:val="009809B5"/>
    <w:rsid w:val="009810F4"/>
    <w:rsid w:val="0098133E"/>
    <w:rsid w:val="0098135D"/>
    <w:rsid w:val="009814A2"/>
    <w:rsid w:val="0098157F"/>
    <w:rsid w:val="009815E8"/>
    <w:rsid w:val="00981703"/>
    <w:rsid w:val="009818C1"/>
    <w:rsid w:val="009818C8"/>
    <w:rsid w:val="00981A2B"/>
    <w:rsid w:val="00981C4E"/>
    <w:rsid w:val="00981CFF"/>
    <w:rsid w:val="00981D5D"/>
    <w:rsid w:val="00981E1E"/>
    <w:rsid w:val="00981EAC"/>
    <w:rsid w:val="00982087"/>
    <w:rsid w:val="009824AF"/>
    <w:rsid w:val="009824F1"/>
    <w:rsid w:val="00982566"/>
    <w:rsid w:val="00982591"/>
    <w:rsid w:val="0098260D"/>
    <w:rsid w:val="00982903"/>
    <w:rsid w:val="00982A39"/>
    <w:rsid w:val="00982B8A"/>
    <w:rsid w:val="00982D25"/>
    <w:rsid w:val="00982D9B"/>
    <w:rsid w:val="00982DC1"/>
    <w:rsid w:val="00982DFE"/>
    <w:rsid w:val="00982E3C"/>
    <w:rsid w:val="009830CC"/>
    <w:rsid w:val="00983254"/>
    <w:rsid w:val="00983632"/>
    <w:rsid w:val="009836A3"/>
    <w:rsid w:val="009836CE"/>
    <w:rsid w:val="009837CB"/>
    <w:rsid w:val="00983890"/>
    <w:rsid w:val="0098399D"/>
    <w:rsid w:val="00983A26"/>
    <w:rsid w:val="00983D64"/>
    <w:rsid w:val="00983DA0"/>
    <w:rsid w:val="00983FD1"/>
    <w:rsid w:val="0098403E"/>
    <w:rsid w:val="009840D3"/>
    <w:rsid w:val="00984375"/>
    <w:rsid w:val="009843DF"/>
    <w:rsid w:val="009844ED"/>
    <w:rsid w:val="009849AE"/>
    <w:rsid w:val="00984B57"/>
    <w:rsid w:val="00984EF6"/>
    <w:rsid w:val="0098506A"/>
    <w:rsid w:val="0098513A"/>
    <w:rsid w:val="009851D9"/>
    <w:rsid w:val="009855C4"/>
    <w:rsid w:val="009857F1"/>
    <w:rsid w:val="00985801"/>
    <w:rsid w:val="009858A3"/>
    <w:rsid w:val="00985A68"/>
    <w:rsid w:val="00985DA1"/>
    <w:rsid w:val="00985F50"/>
    <w:rsid w:val="0098615B"/>
    <w:rsid w:val="0098673C"/>
    <w:rsid w:val="0098673D"/>
    <w:rsid w:val="0098685C"/>
    <w:rsid w:val="00986930"/>
    <w:rsid w:val="00986B50"/>
    <w:rsid w:val="00987081"/>
    <w:rsid w:val="009872FC"/>
    <w:rsid w:val="0098730D"/>
    <w:rsid w:val="009875E9"/>
    <w:rsid w:val="0098791C"/>
    <w:rsid w:val="00990242"/>
    <w:rsid w:val="00990481"/>
    <w:rsid w:val="00990577"/>
    <w:rsid w:val="0099057D"/>
    <w:rsid w:val="0099061F"/>
    <w:rsid w:val="00990650"/>
    <w:rsid w:val="009906F2"/>
    <w:rsid w:val="00990810"/>
    <w:rsid w:val="0099090D"/>
    <w:rsid w:val="00990A38"/>
    <w:rsid w:val="00990B09"/>
    <w:rsid w:val="00990C2C"/>
    <w:rsid w:val="00990D41"/>
    <w:rsid w:val="00990F45"/>
    <w:rsid w:val="009910D7"/>
    <w:rsid w:val="009910F5"/>
    <w:rsid w:val="009912D3"/>
    <w:rsid w:val="00991408"/>
    <w:rsid w:val="009916EF"/>
    <w:rsid w:val="0099172B"/>
    <w:rsid w:val="00991949"/>
    <w:rsid w:val="00991A9D"/>
    <w:rsid w:val="00991BCF"/>
    <w:rsid w:val="00991D9F"/>
    <w:rsid w:val="00991DA9"/>
    <w:rsid w:val="0099204F"/>
    <w:rsid w:val="009927F8"/>
    <w:rsid w:val="009929D1"/>
    <w:rsid w:val="00992DCA"/>
    <w:rsid w:val="00992E54"/>
    <w:rsid w:val="00993481"/>
    <w:rsid w:val="009935B4"/>
    <w:rsid w:val="00993795"/>
    <w:rsid w:val="00993847"/>
    <w:rsid w:val="009938AD"/>
    <w:rsid w:val="00993924"/>
    <w:rsid w:val="00993B1C"/>
    <w:rsid w:val="00993D98"/>
    <w:rsid w:val="00993E17"/>
    <w:rsid w:val="00993F9F"/>
    <w:rsid w:val="00994148"/>
    <w:rsid w:val="009941C8"/>
    <w:rsid w:val="00994349"/>
    <w:rsid w:val="00994490"/>
    <w:rsid w:val="009944ED"/>
    <w:rsid w:val="00994591"/>
    <w:rsid w:val="0099462B"/>
    <w:rsid w:val="009949E4"/>
    <w:rsid w:val="00994B0D"/>
    <w:rsid w:val="00994F5C"/>
    <w:rsid w:val="009953B3"/>
    <w:rsid w:val="00995599"/>
    <w:rsid w:val="00995931"/>
    <w:rsid w:val="00995A7C"/>
    <w:rsid w:val="00995B25"/>
    <w:rsid w:val="00995CF0"/>
    <w:rsid w:val="00995CF2"/>
    <w:rsid w:val="00995E78"/>
    <w:rsid w:val="00995F32"/>
    <w:rsid w:val="009960B0"/>
    <w:rsid w:val="009960DA"/>
    <w:rsid w:val="0099614C"/>
    <w:rsid w:val="0099616D"/>
    <w:rsid w:val="00996599"/>
    <w:rsid w:val="009965AF"/>
    <w:rsid w:val="0099691B"/>
    <w:rsid w:val="009969CC"/>
    <w:rsid w:val="00996A6E"/>
    <w:rsid w:val="00996A7D"/>
    <w:rsid w:val="00996AC9"/>
    <w:rsid w:val="00996B08"/>
    <w:rsid w:val="00996DDD"/>
    <w:rsid w:val="00996FC3"/>
    <w:rsid w:val="00997020"/>
    <w:rsid w:val="00997031"/>
    <w:rsid w:val="0099704A"/>
    <w:rsid w:val="00997058"/>
    <w:rsid w:val="00997204"/>
    <w:rsid w:val="009972C6"/>
    <w:rsid w:val="0099733D"/>
    <w:rsid w:val="009973D5"/>
    <w:rsid w:val="009974B6"/>
    <w:rsid w:val="00997591"/>
    <w:rsid w:val="00997897"/>
    <w:rsid w:val="00997A09"/>
    <w:rsid w:val="00997DF1"/>
    <w:rsid w:val="00997E12"/>
    <w:rsid w:val="009A0188"/>
    <w:rsid w:val="009A01BE"/>
    <w:rsid w:val="009A01C4"/>
    <w:rsid w:val="009A020D"/>
    <w:rsid w:val="009A04E1"/>
    <w:rsid w:val="009A0868"/>
    <w:rsid w:val="009A0928"/>
    <w:rsid w:val="009A0DC6"/>
    <w:rsid w:val="009A11B3"/>
    <w:rsid w:val="009A12E6"/>
    <w:rsid w:val="009A12E9"/>
    <w:rsid w:val="009A1477"/>
    <w:rsid w:val="009A14B6"/>
    <w:rsid w:val="009A14C0"/>
    <w:rsid w:val="009A1550"/>
    <w:rsid w:val="009A1A50"/>
    <w:rsid w:val="009A1D74"/>
    <w:rsid w:val="009A2388"/>
    <w:rsid w:val="009A2413"/>
    <w:rsid w:val="009A2618"/>
    <w:rsid w:val="009A2771"/>
    <w:rsid w:val="009A28D9"/>
    <w:rsid w:val="009A2978"/>
    <w:rsid w:val="009A2988"/>
    <w:rsid w:val="009A29D9"/>
    <w:rsid w:val="009A2CDD"/>
    <w:rsid w:val="009A2D4E"/>
    <w:rsid w:val="009A2EC7"/>
    <w:rsid w:val="009A3119"/>
    <w:rsid w:val="009A3191"/>
    <w:rsid w:val="009A33E5"/>
    <w:rsid w:val="009A3419"/>
    <w:rsid w:val="009A3444"/>
    <w:rsid w:val="009A34AE"/>
    <w:rsid w:val="009A34BF"/>
    <w:rsid w:val="009A34CE"/>
    <w:rsid w:val="009A37AC"/>
    <w:rsid w:val="009A38B3"/>
    <w:rsid w:val="009A3A17"/>
    <w:rsid w:val="009A3A88"/>
    <w:rsid w:val="009A3B89"/>
    <w:rsid w:val="009A3DDE"/>
    <w:rsid w:val="009A3EEA"/>
    <w:rsid w:val="009A3F06"/>
    <w:rsid w:val="009A42DF"/>
    <w:rsid w:val="009A457D"/>
    <w:rsid w:val="009A4694"/>
    <w:rsid w:val="009A46F6"/>
    <w:rsid w:val="009A47AC"/>
    <w:rsid w:val="009A4896"/>
    <w:rsid w:val="009A49CD"/>
    <w:rsid w:val="009A4C75"/>
    <w:rsid w:val="009A51ED"/>
    <w:rsid w:val="009A551E"/>
    <w:rsid w:val="009A5579"/>
    <w:rsid w:val="009A58ED"/>
    <w:rsid w:val="009A5958"/>
    <w:rsid w:val="009A5AA0"/>
    <w:rsid w:val="009A5BDF"/>
    <w:rsid w:val="009A5D7B"/>
    <w:rsid w:val="009A5E85"/>
    <w:rsid w:val="009A5FD2"/>
    <w:rsid w:val="009A621C"/>
    <w:rsid w:val="009A632B"/>
    <w:rsid w:val="009A65B7"/>
    <w:rsid w:val="009A660D"/>
    <w:rsid w:val="009A6737"/>
    <w:rsid w:val="009A680C"/>
    <w:rsid w:val="009A6870"/>
    <w:rsid w:val="009A69C2"/>
    <w:rsid w:val="009A6AFE"/>
    <w:rsid w:val="009A6D80"/>
    <w:rsid w:val="009A6DA1"/>
    <w:rsid w:val="009A6FD5"/>
    <w:rsid w:val="009A70C8"/>
    <w:rsid w:val="009A71D0"/>
    <w:rsid w:val="009A7601"/>
    <w:rsid w:val="009A7720"/>
    <w:rsid w:val="009A778A"/>
    <w:rsid w:val="009A7A29"/>
    <w:rsid w:val="009A7CFD"/>
    <w:rsid w:val="009A7F94"/>
    <w:rsid w:val="009B00B9"/>
    <w:rsid w:val="009B02CC"/>
    <w:rsid w:val="009B03A2"/>
    <w:rsid w:val="009B0451"/>
    <w:rsid w:val="009B0845"/>
    <w:rsid w:val="009B097D"/>
    <w:rsid w:val="009B0B93"/>
    <w:rsid w:val="009B0B9F"/>
    <w:rsid w:val="009B0BE9"/>
    <w:rsid w:val="009B0C75"/>
    <w:rsid w:val="009B0D80"/>
    <w:rsid w:val="009B1260"/>
    <w:rsid w:val="009B1748"/>
    <w:rsid w:val="009B18EF"/>
    <w:rsid w:val="009B19BF"/>
    <w:rsid w:val="009B1A8C"/>
    <w:rsid w:val="009B1CE2"/>
    <w:rsid w:val="009B20F6"/>
    <w:rsid w:val="009B2266"/>
    <w:rsid w:val="009B25A8"/>
    <w:rsid w:val="009B261B"/>
    <w:rsid w:val="009B2700"/>
    <w:rsid w:val="009B29BA"/>
    <w:rsid w:val="009B29ED"/>
    <w:rsid w:val="009B2B2E"/>
    <w:rsid w:val="009B2B37"/>
    <w:rsid w:val="009B2B3A"/>
    <w:rsid w:val="009B2BCC"/>
    <w:rsid w:val="009B2D22"/>
    <w:rsid w:val="009B2FAE"/>
    <w:rsid w:val="009B3036"/>
    <w:rsid w:val="009B30C6"/>
    <w:rsid w:val="009B3371"/>
    <w:rsid w:val="009B3372"/>
    <w:rsid w:val="009B337B"/>
    <w:rsid w:val="009B33AF"/>
    <w:rsid w:val="009B341A"/>
    <w:rsid w:val="009B3513"/>
    <w:rsid w:val="009B377A"/>
    <w:rsid w:val="009B378B"/>
    <w:rsid w:val="009B385B"/>
    <w:rsid w:val="009B3A89"/>
    <w:rsid w:val="009B3CE6"/>
    <w:rsid w:val="009B3FAF"/>
    <w:rsid w:val="009B4296"/>
    <w:rsid w:val="009B4637"/>
    <w:rsid w:val="009B4760"/>
    <w:rsid w:val="009B4A7A"/>
    <w:rsid w:val="009B4BB9"/>
    <w:rsid w:val="009B4C40"/>
    <w:rsid w:val="009B4CB4"/>
    <w:rsid w:val="009B4E0B"/>
    <w:rsid w:val="009B5216"/>
    <w:rsid w:val="009B545B"/>
    <w:rsid w:val="009B5460"/>
    <w:rsid w:val="009B547C"/>
    <w:rsid w:val="009B5565"/>
    <w:rsid w:val="009B5650"/>
    <w:rsid w:val="009B56A4"/>
    <w:rsid w:val="009B57B4"/>
    <w:rsid w:val="009B5879"/>
    <w:rsid w:val="009B59C4"/>
    <w:rsid w:val="009B5AFE"/>
    <w:rsid w:val="009B5C32"/>
    <w:rsid w:val="009B5F58"/>
    <w:rsid w:val="009B5FCD"/>
    <w:rsid w:val="009B600E"/>
    <w:rsid w:val="009B60C2"/>
    <w:rsid w:val="009B627F"/>
    <w:rsid w:val="009B63F0"/>
    <w:rsid w:val="009B6679"/>
    <w:rsid w:val="009B6714"/>
    <w:rsid w:val="009B67AB"/>
    <w:rsid w:val="009B67B7"/>
    <w:rsid w:val="009B67C9"/>
    <w:rsid w:val="009B6A2A"/>
    <w:rsid w:val="009B6A74"/>
    <w:rsid w:val="009B6B3B"/>
    <w:rsid w:val="009B6C1B"/>
    <w:rsid w:val="009B6C46"/>
    <w:rsid w:val="009B6C87"/>
    <w:rsid w:val="009B6E14"/>
    <w:rsid w:val="009B6E5D"/>
    <w:rsid w:val="009B70AA"/>
    <w:rsid w:val="009B718D"/>
    <w:rsid w:val="009B7227"/>
    <w:rsid w:val="009B7351"/>
    <w:rsid w:val="009B73F5"/>
    <w:rsid w:val="009B790C"/>
    <w:rsid w:val="009B7A75"/>
    <w:rsid w:val="009B7BC1"/>
    <w:rsid w:val="009B7CDD"/>
    <w:rsid w:val="009B7F0C"/>
    <w:rsid w:val="009B7FEE"/>
    <w:rsid w:val="009C011A"/>
    <w:rsid w:val="009C02A6"/>
    <w:rsid w:val="009C0699"/>
    <w:rsid w:val="009C07BD"/>
    <w:rsid w:val="009C09A1"/>
    <w:rsid w:val="009C0A96"/>
    <w:rsid w:val="009C0AD8"/>
    <w:rsid w:val="009C0B9B"/>
    <w:rsid w:val="009C0C23"/>
    <w:rsid w:val="009C0EB2"/>
    <w:rsid w:val="009C0F01"/>
    <w:rsid w:val="009C0F75"/>
    <w:rsid w:val="009C10DB"/>
    <w:rsid w:val="009C1375"/>
    <w:rsid w:val="009C1394"/>
    <w:rsid w:val="009C15E9"/>
    <w:rsid w:val="009C163D"/>
    <w:rsid w:val="009C174C"/>
    <w:rsid w:val="009C179C"/>
    <w:rsid w:val="009C18C9"/>
    <w:rsid w:val="009C191E"/>
    <w:rsid w:val="009C1955"/>
    <w:rsid w:val="009C1AE4"/>
    <w:rsid w:val="009C1BFA"/>
    <w:rsid w:val="009C1F7F"/>
    <w:rsid w:val="009C2018"/>
    <w:rsid w:val="009C2032"/>
    <w:rsid w:val="009C2076"/>
    <w:rsid w:val="009C2619"/>
    <w:rsid w:val="009C2645"/>
    <w:rsid w:val="009C27D9"/>
    <w:rsid w:val="009C29BB"/>
    <w:rsid w:val="009C2ACA"/>
    <w:rsid w:val="009C2B53"/>
    <w:rsid w:val="009C2BB0"/>
    <w:rsid w:val="009C2CBA"/>
    <w:rsid w:val="009C2CE7"/>
    <w:rsid w:val="009C3022"/>
    <w:rsid w:val="009C319D"/>
    <w:rsid w:val="009C3295"/>
    <w:rsid w:val="009C3302"/>
    <w:rsid w:val="009C3540"/>
    <w:rsid w:val="009C3560"/>
    <w:rsid w:val="009C3E86"/>
    <w:rsid w:val="009C3E8B"/>
    <w:rsid w:val="009C3F32"/>
    <w:rsid w:val="009C3F56"/>
    <w:rsid w:val="009C3FD1"/>
    <w:rsid w:val="009C4022"/>
    <w:rsid w:val="009C4099"/>
    <w:rsid w:val="009C41FB"/>
    <w:rsid w:val="009C420E"/>
    <w:rsid w:val="009C453C"/>
    <w:rsid w:val="009C4CAB"/>
    <w:rsid w:val="009C5046"/>
    <w:rsid w:val="009C5159"/>
    <w:rsid w:val="009C5282"/>
    <w:rsid w:val="009C52B1"/>
    <w:rsid w:val="009C553D"/>
    <w:rsid w:val="009C5558"/>
    <w:rsid w:val="009C5751"/>
    <w:rsid w:val="009C5899"/>
    <w:rsid w:val="009C5AE0"/>
    <w:rsid w:val="009C5B2F"/>
    <w:rsid w:val="009C5D60"/>
    <w:rsid w:val="009C5EAF"/>
    <w:rsid w:val="009C5EB1"/>
    <w:rsid w:val="009C606F"/>
    <w:rsid w:val="009C6178"/>
    <w:rsid w:val="009C61BE"/>
    <w:rsid w:val="009C61E3"/>
    <w:rsid w:val="009C6276"/>
    <w:rsid w:val="009C63F5"/>
    <w:rsid w:val="009C64F6"/>
    <w:rsid w:val="009C652D"/>
    <w:rsid w:val="009C653B"/>
    <w:rsid w:val="009C6771"/>
    <w:rsid w:val="009C6908"/>
    <w:rsid w:val="009C6944"/>
    <w:rsid w:val="009C69F8"/>
    <w:rsid w:val="009C6A28"/>
    <w:rsid w:val="009C6B4A"/>
    <w:rsid w:val="009C6C07"/>
    <w:rsid w:val="009C6E93"/>
    <w:rsid w:val="009C6EF3"/>
    <w:rsid w:val="009C6F2F"/>
    <w:rsid w:val="009C70E4"/>
    <w:rsid w:val="009C70EC"/>
    <w:rsid w:val="009C71DB"/>
    <w:rsid w:val="009C748F"/>
    <w:rsid w:val="009C759B"/>
    <w:rsid w:val="009C785C"/>
    <w:rsid w:val="009C794F"/>
    <w:rsid w:val="009C7E58"/>
    <w:rsid w:val="009C7F61"/>
    <w:rsid w:val="009D0087"/>
    <w:rsid w:val="009D0095"/>
    <w:rsid w:val="009D00E7"/>
    <w:rsid w:val="009D0502"/>
    <w:rsid w:val="009D05EC"/>
    <w:rsid w:val="009D05FD"/>
    <w:rsid w:val="009D064B"/>
    <w:rsid w:val="009D076C"/>
    <w:rsid w:val="009D07B2"/>
    <w:rsid w:val="009D07FA"/>
    <w:rsid w:val="009D0A01"/>
    <w:rsid w:val="009D0CB2"/>
    <w:rsid w:val="009D0DBF"/>
    <w:rsid w:val="009D1074"/>
    <w:rsid w:val="009D125F"/>
    <w:rsid w:val="009D13E4"/>
    <w:rsid w:val="009D1448"/>
    <w:rsid w:val="009D17A0"/>
    <w:rsid w:val="009D1A2D"/>
    <w:rsid w:val="009D1AE0"/>
    <w:rsid w:val="009D1B31"/>
    <w:rsid w:val="009D1BA5"/>
    <w:rsid w:val="009D1C07"/>
    <w:rsid w:val="009D1C87"/>
    <w:rsid w:val="009D1DC2"/>
    <w:rsid w:val="009D1FE2"/>
    <w:rsid w:val="009D214F"/>
    <w:rsid w:val="009D281B"/>
    <w:rsid w:val="009D2D33"/>
    <w:rsid w:val="009D2D5C"/>
    <w:rsid w:val="009D2DC0"/>
    <w:rsid w:val="009D2EB4"/>
    <w:rsid w:val="009D31A2"/>
    <w:rsid w:val="009D348C"/>
    <w:rsid w:val="009D34F8"/>
    <w:rsid w:val="009D36CC"/>
    <w:rsid w:val="009D3B2E"/>
    <w:rsid w:val="009D3C12"/>
    <w:rsid w:val="009D3D74"/>
    <w:rsid w:val="009D3DBE"/>
    <w:rsid w:val="009D3DEF"/>
    <w:rsid w:val="009D4138"/>
    <w:rsid w:val="009D4222"/>
    <w:rsid w:val="009D456A"/>
    <w:rsid w:val="009D47B0"/>
    <w:rsid w:val="009D49AF"/>
    <w:rsid w:val="009D4C72"/>
    <w:rsid w:val="009D4EEB"/>
    <w:rsid w:val="009D501C"/>
    <w:rsid w:val="009D5251"/>
    <w:rsid w:val="009D5427"/>
    <w:rsid w:val="009D580F"/>
    <w:rsid w:val="009D5960"/>
    <w:rsid w:val="009D59EB"/>
    <w:rsid w:val="009D5B18"/>
    <w:rsid w:val="009D5DE0"/>
    <w:rsid w:val="009D5EA3"/>
    <w:rsid w:val="009D5EEA"/>
    <w:rsid w:val="009D5F60"/>
    <w:rsid w:val="009D6139"/>
    <w:rsid w:val="009D63C6"/>
    <w:rsid w:val="009D66E0"/>
    <w:rsid w:val="009D685F"/>
    <w:rsid w:val="009D68C1"/>
    <w:rsid w:val="009D6A0F"/>
    <w:rsid w:val="009D6AEA"/>
    <w:rsid w:val="009D6CEB"/>
    <w:rsid w:val="009D6FEC"/>
    <w:rsid w:val="009D7122"/>
    <w:rsid w:val="009D7214"/>
    <w:rsid w:val="009D726D"/>
    <w:rsid w:val="009D74B7"/>
    <w:rsid w:val="009D74CA"/>
    <w:rsid w:val="009D7536"/>
    <w:rsid w:val="009D779B"/>
    <w:rsid w:val="009D78C6"/>
    <w:rsid w:val="009D78F0"/>
    <w:rsid w:val="009D7B7C"/>
    <w:rsid w:val="009D7BCF"/>
    <w:rsid w:val="009D7C52"/>
    <w:rsid w:val="009D7CFE"/>
    <w:rsid w:val="009D7D57"/>
    <w:rsid w:val="009D7EC6"/>
    <w:rsid w:val="009E0036"/>
    <w:rsid w:val="009E00AD"/>
    <w:rsid w:val="009E01A7"/>
    <w:rsid w:val="009E0593"/>
    <w:rsid w:val="009E05A9"/>
    <w:rsid w:val="009E0837"/>
    <w:rsid w:val="009E09A4"/>
    <w:rsid w:val="009E09D9"/>
    <w:rsid w:val="009E0A8F"/>
    <w:rsid w:val="009E0C63"/>
    <w:rsid w:val="009E0C74"/>
    <w:rsid w:val="009E0C80"/>
    <w:rsid w:val="009E0CC2"/>
    <w:rsid w:val="009E1080"/>
    <w:rsid w:val="009E12DD"/>
    <w:rsid w:val="009E13DF"/>
    <w:rsid w:val="009E1514"/>
    <w:rsid w:val="009E1583"/>
    <w:rsid w:val="009E16EB"/>
    <w:rsid w:val="009E1707"/>
    <w:rsid w:val="009E1910"/>
    <w:rsid w:val="009E1954"/>
    <w:rsid w:val="009E1978"/>
    <w:rsid w:val="009E1C95"/>
    <w:rsid w:val="009E1D35"/>
    <w:rsid w:val="009E2138"/>
    <w:rsid w:val="009E280C"/>
    <w:rsid w:val="009E281C"/>
    <w:rsid w:val="009E2929"/>
    <w:rsid w:val="009E2AA8"/>
    <w:rsid w:val="009E2B9D"/>
    <w:rsid w:val="009E2C85"/>
    <w:rsid w:val="009E2F30"/>
    <w:rsid w:val="009E2F73"/>
    <w:rsid w:val="009E2F9A"/>
    <w:rsid w:val="009E3002"/>
    <w:rsid w:val="009E3117"/>
    <w:rsid w:val="009E35B5"/>
    <w:rsid w:val="009E362E"/>
    <w:rsid w:val="009E36DF"/>
    <w:rsid w:val="009E39B8"/>
    <w:rsid w:val="009E3A9D"/>
    <w:rsid w:val="009E3AF9"/>
    <w:rsid w:val="009E3B8D"/>
    <w:rsid w:val="009E3C1F"/>
    <w:rsid w:val="009E3CF7"/>
    <w:rsid w:val="009E3FCC"/>
    <w:rsid w:val="009E3FEB"/>
    <w:rsid w:val="009E4242"/>
    <w:rsid w:val="009E44DC"/>
    <w:rsid w:val="009E45E9"/>
    <w:rsid w:val="009E46A8"/>
    <w:rsid w:val="009E46AE"/>
    <w:rsid w:val="009E47A7"/>
    <w:rsid w:val="009E48C6"/>
    <w:rsid w:val="009E4910"/>
    <w:rsid w:val="009E4AC9"/>
    <w:rsid w:val="009E4B8A"/>
    <w:rsid w:val="009E4B9D"/>
    <w:rsid w:val="009E4CDD"/>
    <w:rsid w:val="009E4E6D"/>
    <w:rsid w:val="009E4FD4"/>
    <w:rsid w:val="009E51FF"/>
    <w:rsid w:val="009E5219"/>
    <w:rsid w:val="009E523F"/>
    <w:rsid w:val="009E539C"/>
    <w:rsid w:val="009E54E3"/>
    <w:rsid w:val="009E56D1"/>
    <w:rsid w:val="009E5783"/>
    <w:rsid w:val="009E57A7"/>
    <w:rsid w:val="009E57CF"/>
    <w:rsid w:val="009E5AE7"/>
    <w:rsid w:val="009E5C38"/>
    <w:rsid w:val="009E5C69"/>
    <w:rsid w:val="009E5CC4"/>
    <w:rsid w:val="009E5EEB"/>
    <w:rsid w:val="009E5F9C"/>
    <w:rsid w:val="009E605B"/>
    <w:rsid w:val="009E6130"/>
    <w:rsid w:val="009E62AB"/>
    <w:rsid w:val="009E6334"/>
    <w:rsid w:val="009E6339"/>
    <w:rsid w:val="009E6764"/>
    <w:rsid w:val="009E6798"/>
    <w:rsid w:val="009E67A3"/>
    <w:rsid w:val="009E6B10"/>
    <w:rsid w:val="009E6B48"/>
    <w:rsid w:val="009E6C3B"/>
    <w:rsid w:val="009E6C58"/>
    <w:rsid w:val="009E6CB7"/>
    <w:rsid w:val="009E6CB8"/>
    <w:rsid w:val="009E6E1B"/>
    <w:rsid w:val="009E71D3"/>
    <w:rsid w:val="009E738D"/>
    <w:rsid w:val="009E75FF"/>
    <w:rsid w:val="009E76A8"/>
    <w:rsid w:val="009E77B7"/>
    <w:rsid w:val="009E781B"/>
    <w:rsid w:val="009E7979"/>
    <w:rsid w:val="009E7BB1"/>
    <w:rsid w:val="009E7E38"/>
    <w:rsid w:val="009E7EB6"/>
    <w:rsid w:val="009E7FF1"/>
    <w:rsid w:val="009F032D"/>
    <w:rsid w:val="009F0457"/>
    <w:rsid w:val="009F0C5C"/>
    <w:rsid w:val="009F0DB3"/>
    <w:rsid w:val="009F0DFA"/>
    <w:rsid w:val="009F0FAA"/>
    <w:rsid w:val="009F112C"/>
    <w:rsid w:val="009F12FD"/>
    <w:rsid w:val="009F1462"/>
    <w:rsid w:val="009F1A9A"/>
    <w:rsid w:val="009F1AEB"/>
    <w:rsid w:val="009F1B90"/>
    <w:rsid w:val="009F1BF0"/>
    <w:rsid w:val="009F1E25"/>
    <w:rsid w:val="009F1F83"/>
    <w:rsid w:val="009F24CB"/>
    <w:rsid w:val="009F2657"/>
    <w:rsid w:val="009F2679"/>
    <w:rsid w:val="009F27BB"/>
    <w:rsid w:val="009F2845"/>
    <w:rsid w:val="009F2886"/>
    <w:rsid w:val="009F2A88"/>
    <w:rsid w:val="009F2D11"/>
    <w:rsid w:val="009F2EFE"/>
    <w:rsid w:val="009F2F5C"/>
    <w:rsid w:val="009F2FE8"/>
    <w:rsid w:val="009F301D"/>
    <w:rsid w:val="009F3041"/>
    <w:rsid w:val="009F305A"/>
    <w:rsid w:val="009F3103"/>
    <w:rsid w:val="009F311D"/>
    <w:rsid w:val="009F32F5"/>
    <w:rsid w:val="009F33F0"/>
    <w:rsid w:val="009F34D1"/>
    <w:rsid w:val="009F35C8"/>
    <w:rsid w:val="009F35F6"/>
    <w:rsid w:val="009F3695"/>
    <w:rsid w:val="009F3718"/>
    <w:rsid w:val="009F381D"/>
    <w:rsid w:val="009F38E8"/>
    <w:rsid w:val="009F3AF2"/>
    <w:rsid w:val="009F3B5E"/>
    <w:rsid w:val="009F3BED"/>
    <w:rsid w:val="009F3BFF"/>
    <w:rsid w:val="009F3FD8"/>
    <w:rsid w:val="009F4127"/>
    <w:rsid w:val="009F4362"/>
    <w:rsid w:val="009F4426"/>
    <w:rsid w:val="009F45B9"/>
    <w:rsid w:val="009F4993"/>
    <w:rsid w:val="009F4C27"/>
    <w:rsid w:val="009F4F32"/>
    <w:rsid w:val="009F510E"/>
    <w:rsid w:val="009F512E"/>
    <w:rsid w:val="009F513C"/>
    <w:rsid w:val="009F51B0"/>
    <w:rsid w:val="009F534D"/>
    <w:rsid w:val="009F53B3"/>
    <w:rsid w:val="009F572F"/>
    <w:rsid w:val="009F5A3F"/>
    <w:rsid w:val="009F5B92"/>
    <w:rsid w:val="009F5DD7"/>
    <w:rsid w:val="009F5ECC"/>
    <w:rsid w:val="009F606D"/>
    <w:rsid w:val="009F611D"/>
    <w:rsid w:val="009F6477"/>
    <w:rsid w:val="009F661C"/>
    <w:rsid w:val="009F6E4B"/>
    <w:rsid w:val="009F6EFD"/>
    <w:rsid w:val="009F6F65"/>
    <w:rsid w:val="009F7032"/>
    <w:rsid w:val="009F703F"/>
    <w:rsid w:val="009F7068"/>
    <w:rsid w:val="009F723B"/>
    <w:rsid w:val="009F72C5"/>
    <w:rsid w:val="009F7B03"/>
    <w:rsid w:val="009F7D59"/>
    <w:rsid w:val="009F7DE8"/>
    <w:rsid w:val="00A00276"/>
    <w:rsid w:val="00A00A8A"/>
    <w:rsid w:val="00A00DB1"/>
    <w:rsid w:val="00A00E3B"/>
    <w:rsid w:val="00A0140D"/>
    <w:rsid w:val="00A01438"/>
    <w:rsid w:val="00A0143F"/>
    <w:rsid w:val="00A01483"/>
    <w:rsid w:val="00A014F1"/>
    <w:rsid w:val="00A015FD"/>
    <w:rsid w:val="00A01755"/>
    <w:rsid w:val="00A01B5F"/>
    <w:rsid w:val="00A01C24"/>
    <w:rsid w:val="00A01C89"/>
    <w:rsid w:val="00A0206B"/>
    <w:rsid w:val="00A02171"/>
    <w:rsid w:val="00A024C2"/>
    <w:rsid w:val="00A024CD"/>
    <w:rsid w:val="00A02772"/>
    <w:rsid w:val="00A02791"/>
    <w:rsid w:val="00A02800"/>
    <w:rsid w:val="00A02A39"/>
    <w:rsid w:val="00A02CD2"/>
    <w:rsid w:val="00A0306F"/>
    <w:rsid w:val="00A03170"/>
    <w:rsid w:val="00A03171"/>
    <w:rsid w:val="00A03244"/>
    <w:rsid w:val="00A03489"/>
    <w:rsid w:val="00A03689"/>
    <w:rsid w:val="00A036F0"/>
    <w:rsid w:val="00A039DB"/>
    <w:rsid w:val="00A03B60"/>
    <w:rsid w:val="00A03C93"/>
    <w:rsid w:val="00A03D5B"/>
    <w:rsid w:val="00A03E86"/>
    <w:rsid w:val="00A0411E"/>
    <w:rsid w:val="00A04218"/>
    <w:rsid w:val="00A04488"/>
    <w:rsid w:val="00A044E8"/>
    <w:rsid w:val="00A048CB"/>
    <w:rsid w:val="00A04A38"/>
    <w:rsid w:val="00A04B63"/>
    <w:rsid w:val="00A04CF8"/>
    <w:rsid w:val="00A04D91"/>
    <w:rsid w:val="00A05257"/>
    <w:rsid w:val="00A055A3"/>
    <w:rsid w:val="00A0574C"/>
    <w:rsid w:val="00A058C5"/>
    <w:rsid w:val="00A05910"/>
    <w:rsid w:val="00A05981"/>
    <w:rsid w:val="00A05A49"/>
    <w:rsid w:val="00A05CC2"/>
    <w:rsid w:val="00A05D27"/>
    <w:rsid w:val="00A060A5"/>
    <w:rsid w:val="00A060C9"/>
    <w:rsid w:val="00A06100"/>
    <w:rsid w:val="00A061D6"/>
    <w:rsid w:val="00A0639F"/>
    <w:rsid w:val="00A06498"/>
    <w:rsid w:val="00A06A5B"/>
    <w:rsid w:val="00A06B15"/>
    <w:rsid w:val="00A06CB5"/>
    <w:rsid w:val="00A06D68"/>
    <w:rsid w:val="00A06EB5"/>
    <w:rsid w:val="00A0726A"/>
    <w:rsid w:val="00A07334"/>
    <w:rsid w:val="00A0753B"/>
    <w:rsid w:val="00A07704"/>
    <w:rsid w:val="00A0773F"/>
    <w:rsid w:val="00A0776C"/>
    <w:rsid w:val="00A07772"/>
    <w:rsid w:val="00A07A6E"/>
    <w:rsid w:val="00A07F29"/>
    <w:rsid w:val="00A10300"/>
    <w:rsid w:val="00A10312"/>
    <w:rsid w:val="00A104FD"/>
    <w:rsid w:val="00A1057F"/>
    <w:rsid w:val="00A10584"/>
    <w:rsid w:val="00A10611"/>
    <w:rsid w:val="00A10617"/>
    <w:rsid w:val="00A108CC"/>
    <w:rsid w:val="00A10901"/>
    <w:rsid w:val="00A10BD6"/>
    <w:rsid w:val="00A10BF2"/>
    <w:rsid w:val="00A10D75"/>
    <w:rsid w:val="00A10D90"/>
    <w:rsid w:val="00A10EAD"/>
    <w:rsid w:val="00A10ED8"/>
    <w:rsid w:val="00A110EB"/>
    <w:rsid w:val="00A11181"/>
    <w:rsid w:val="00A112E1"/>
    <w:rsid w:val="00A11E62"/>
    <w:rsid w:val="00A11E64"/>
    <w:rsid w:val="00A11F32"/>
    <w:rsid w:val="00A12057"/>
    <w:rsid w:val="00A120CA"/>
    <w:rsid w:val="00A12141"/>
    <w:rsid w:val="00A122F6"/>
    <w:rsid w:val="00A12344"/>
    <w:rsid w:val="00A123EB"/>
    <w:rsid w:val="00A1264D"/>
    <w:rsid w:val="00A129C6"/>
    <w:rsid w:val="00A12A14"/>
    <w:rsid w:val="00A12DE1"/>
    <w:rsid w:val="00A12DF4"/>
    <w:rsid w:val="00A1330B"/>
    <w:rsid w:val="00A13477"/>
    <w:rsid w:val="00A136E7"/>
    <w:rsid w:val="00A13826"/>
    <w:rsid w:val="00A1385B"/>
    <w:rsid w:val="00A13895"/>
    <w:rsid w:val="00A138EE"/>
    <w:rsid w:val="00A13B40"/>
    <w:rsid w:val="00A13B70"/>
    <w:rsid w:val="00A13F68"/>
    <w:rsid w:val="00A1419B"/>
    <w:rsid w:val="00A14688"/>
    <w:rsid w:val="00A148C1"/>
    <w:rsid w:val="00A14B2C"/>
    <w:rsid w:val="00A14B74"/>
    <w:rsid w:val="00A14BAE"/>
    <w:rsid w:val="00A14C5A"/>
    <w:rsid w:val="00A14E30"/>
    <w:rsid w:val="00A15194"/>
    <w:rsid w:val="00A156DB"/>
    <w:rsid w:val="00A159D7"/>
    <w:rsid w:val="00A15A98"/>
    <w:rsid w:val="00A15CC7"/>
    <w:rsid w:val="00A1601F"/>
    <w:rsid w:val="00A160A2"/>
    <w:rsid w:val="00A16167"/>
    <w:rsid w:val="00A16232"/>
    <w:rsid w:val="00A16272"/>
    <w:rsid w:val="00A163CA"/>
    <w:rsid w:val="00A167E4"/>
    <w:rsid w:val="00A16B7C"/>
    <w:rsid w:val="00A16C41"/>
    <w:rsid w:val="00A16E4D"/>
    <w:rsid w:val="00A170B8"/>
    <w:rsid w:val="00A17516"/>
    <w:rsid w:val="00A17526"/>
    <w:rsid w:val="00A175B3"/>
    <w:rsid w:val="00A175BB"/>
    <w:rsid w:val="00A179E3"/>
    <w:rsid w:val="00A17DBF"/>
    <w:rsid w:val="00A17E4A"/>
    <w:rsid w:val="00A17EB5"/>
    <w:rsid w:val="00A17F5F"/>
    <w:rsid w:val="00A17FA6"/>
    <w:rsid w:val="00A203B3"/>
    <w:rsid w:val="00A203DB"/>
    <w:rsid w:val="00A205AF"/>
    <w:rsid w:val="00A206B3"/>
    <w:rsid w:val="00A206F5"/>
    <w:rsid w:val="00A2074F"/>
    <w:rsid w:val="00A20895"/>
    <w:rsid w:val="00A20A05"/>
    <w:rsid w:val="00A20A83"/>
    <w:rsid w:val="00A20E48"/>
    <w:rsid w:val="00A20EAB"/>
    <w:rsid w:val="00A2111E"/>
    <w:rsid w:val="00A211A7"/>
    <w:rsid w:val="00A212A4"/>
    <w:rsid w:val="00A2136F"/>
    <w:rsid w:val="00A21610"/>
    <w:rsid w:val="00A2179C"/>
    <w:rsid w:val="00A2190E"/>
    <w:rsid w:val="00A219AE"/>
    <w:rsid w:val="00A21E6D"/>
    <w:rsid w:val="00A21F2C"/>
    <w:rsid w:val="00A21F95"/>
    <w:rsid w:val="00A22003"/>
    <w:rsid w:val="00A220F9"/>
    <w:rsid w:val="00A22227"/>
    <w:rsid w:val="00A2223D"/>
    <w:rsid w:val="00A223C2"/>
    <w:rsid w:val="00A2260D"/>
    <w:rsid w:val="00A2261A"/>
    <w:rsid w:val="00A2262D"/>
    <w:rsid w:val="00A226B8"/>
    <w:rsid w:val="00A22A47"/>
    <w:rsid w:val="00A22B48"/>
    <w:rsid w:val="00A22C05"/>
    <w:rsid w:val="00A22C9D"/>
    <w:rsid w:val="00A22E10"/>
    <w:rsid w:val="00A22E41"/>
    <w:rsid w:val="00A22F1B"/>
    <w:rsid w:val="00A22FF7"/>
    <w:rsid w:val="00A22FFA"/>
    <w:rsid w:val="00A2327C"/>
    <w:rsid w:val="00A235DB"/>
    <w:rsid w:val="00A237DE"/>
    <w:rsid w:val="00A237DF"/>
    <w:rsid w:val="00A23B25"/>
    <w:rsid w:val="00A23BA4"/>
    <w:rsid w:val="00A23FFF"/>
    <w:rsid w:val="00A2411A"/>
    <w:rsid w:val="00A2415E"/>
    <w:rsid w:val="00A242F2"/>
    <w:rsid w:val="00A243C0"/>
    <w:rsid w:val="00A243DD"/>
    <w:rsid w:val="00A2460E"/>
    <w:rsid w:val="00A247A1"/>
    <w:rsid w:val="00A2481D"/>
    <w:rsid w:val="00A248AE"/>
    <w:rsid w:val="00A24ED4"/>
    <w:rsid w:val="00A24F0F"/>
    <w:rsid w:val="00A24FB6"/>
    <w:rsid w:val="00A24FFE"/>
    <w:rsid w:val="00A2506C"/>
    <w:rsid w:val="00A25360"/>
    <w:rsid w:val="00A2547D"/>
    <w:rsid w:val="00A25636"/>
    <w:rsid w:val="00A25640"/>
    <w:rsid w:val="00A259BE"/>
    <w:rsid w:val="00A25A99"/>
    <w:rsid w:val="00A25AC7"/>
    <w:rsid w:val="00A25B76"/>
    <w:rsid w:val="00A26456"/>
    <w:rsid w:val="00A264F0"/>
    <w:rsid w:val="00A265DB"/>
    <w:rsid w:val="00A2676D"/>
    <w:rsid w:val="00A2691B"/>
    <w:rsid w:val="00A26A51"/>
    <w:rsid w:val="00A26BB4"/>
    <w:rsid w:val="00A26D9C"/>
    <w:rsid w:val="00A26DC5"/>
    <w:rsid w:val="00A26EF1"/>
    <w:rsid w:val="00A271E0"/>
    <w:rsid w:val="00A27611"/>
    <w:rsid w:val="00A2766E"/>
    <w:rsid w:val="00A27796"/>
    <w:rsid w:val="00A27989"/>
    <w:rsid w:val="00A27B1B"/>
    <w:rsid w:val="00A27E15"/>
    <w:rsid w:val="00A27E38"/>
    <w:rsid w:val="00A27E74"/>
    <w:rsid w:val="00A300F1"/>
    <w:rsid w:val="00A309E9"/>
    <w:rsid w:val="00A30B01"/>
    <w:rsid w:val="00A30BE2"/>
    <w:rsid w:val="00A30C0C"/>
    <w:rsid w:val="00A30CC3"/>
    <w:rsid w:val="00A30D84"/>
    <w:rsid w:val="00A3117C"/>
    <w:rsid w:val="00A313B3"/>
    <w:rsid w:val="00A3154A"/>
    <w:rsid w:val="00A3194E"/>
    <w:rsid w:val="00A31B51"/>
    <w:rsid w:val="00A31B59"/>
    <w:rsid w:val="00A31B76"/>
    <w:rsid w:val="00A31C0C"/>
    <w:rsid w:val="00A325E7"/>
    <w:rsid w:val="00A32608"/>
    <w:rsid w:val="00A3262F"/>
    <w:rsid w:val="00A32662"/>
    <w:rsid w:val="00A32715"/>
    <w:rsid w:val="00A327F3"/>
    <w:rsid w:val="00A328D9"/>
    <w:rsid w:val="00A32C88"/>
    <w:rsid w:val="00A32CEB"/>
    <w:rsid w:val="00A32D7C"/>
    <w:rsid w:val="00A32E5B"/>
    <w:rsid w:val="00A3319E"/>
    <w:rsid w:val="00A331B0"/>
    <w:rsid w:val="00A33465"/>
    <w:rsid w:val="00A334DD"/>
    <w:rsid w:val="00A3358E"/>
    <w:rsid w:val="00A3367C"/>
    <w:rsid w:val="00A33734"/>
    <w:rsid w:val="00A3394D"/>
    <w:rsid w:val="00A33C44"/>
    <w:rsid w:val="00A33DC1"/>
    <w:rsid w:val="00A34232"/>
    <w:rsid w:val="00A343F3"/>
    <w:rsid w:val="00A34714"/>
    <w:rsid w:val="00A3481A"/>
    <w:rsid w:val="00A34820"/>
    <w:rsid w:val="00A34824"/>
    <w:rsid w:val="00A34875"/>
    <w:rsid w:val="00A34F68"/>
    <w:rsid w:val="00A351ED"/>
    <w:rsid w:val="00A3523A"/>
    <w:rsid w:val="00A352B8"/>
    <w:rsid w:val="00A35348"/>
    <w:rsid w:val="00A3545E"/>
    <w:rsid w:val="00A3546A"/>
    <w:rsid w:val="00A355E8"/>
    <w:rsid w:val="00A35763"/>
    <w:rsid w:val="00A357BA"/>
    <w:rsid w:val="00A3591B"/>
    <w:rsid w:val="00A35B56"/>
    <w:rsid w:val="00A35B94"/>
    <w:rsid w:val="00A35BDB"/>
    <w:rsid w:val="00A35E23"/>
    <w:rsid w:val="00A35EAA"/>
    <w:rsid w:val="00A35F69"/>
    <w:rsid w:val="00A36079"/>
    <w:rsid w:val="00A36290"/>
    <w:rsid w:val="00A362A8"/>
    <w:rsid w:val="00A362BF"/>
    <w:rsid w:val="00A36341"/>
    <w:rsid w:val="00A363CB"/>
    <w:rsid w:val="00A36703"/>
    <w:rsid w:val="00A368C8"/>
    <w:rsid w:val="00A36A67"/>
    <w:rsid w:val="00A36F25"/>
    <w:rsid w:val="00A3711B"/>
    <w:rsid w:val="00A372E3"/>
    <w:rsid w:val="00A37577"/>
    <w:rsid w:val="00A37726"/>
    <w:rsid w:val="00A377F7"/>
    <w:rsid w:val="00A37C30"/>
    <w:rsid w:val="00A37D60"/>
    <w:rsid w:val="00A37EFB"/>
    <w:rsid w:val="00A400B8"/>
    <w:rsid w:val="00A400F2"/>
    <w:rsid w:val="00A403D3"/>
    <w:rsid w:val="00A40507"/>
    <w:rsid w:val="00A4051C"/>
    <w:rsid w:val="00A40603"/>
    <w:rsid w:val="00A409C8"/>
    <w:rsid w:val="00A40A2C"/>
    <w:rsid w:val="00A40AA6"/>
    <w:rsid w:val="00A40B9B"/>
    <w:rsid w:val="00A40D81"/>
    <w:rsid w:val="00A40DC0"/>
    <w:rsid w:val="00A40ECA"/>
    <w:rsid w:val="00A40F7E"/>
    <w:rsid w:val="00A40FA1"/>
    <w:rsid w:val="00A415E3"/>
    <w:rsid w:val="00A41A54"/>
    <w:rsid w:val="00A41AB0"/>
    <w:rsid w:val="00A41BF9"/>
    <w:rsid w:val="00A41C33"/>
    <w:rsid w:val="00A41D42"/>
    <w:rsid w:val="00A41F22"/>
    <w:rsid w:val="00A42055"/>
    <w:rsid w:val="00A42204"/>
    <w:rsid w:val="00A42233"/>
    <w:rsid w:val="00A422FD"/>
    <w:rsid w:val="00A423D5"/>
    <w:rsid w:val="00A424AE"/>
    <w:rsid w:val="00A427E3"/>
    <w:rsid w:val="00A42B8D"/>
    <w:rsid w:val="00A42BA4"/>
    <w:rsid w:val="00A42DBF"/>
    <w:rsid w:val="00A430C5"/>
    <w:rsid w:val="00A4311B"/>
    <w:rsid w:val="00A43420"/>
    <w:rsid w:val="00A43521"/>
    <w:rsid w:val="00A435C1"/>
    <w:rsid w:val="00A4368E"/>
    <w:rsid w:val="00A43974"/>
    <w:rsid w:val="00A43B3B"/>
    <w:rsid w:val="00A43C0C"/>
    <w:rsid w:val="00A43FC6"/>
    <w:rsid w:val="00A44559"/>
    <w:rsid w:val="00A44734"/>
    <w:rsid w:val="00A44904"/>
    <w:rsid w:val="00A44B38"/>
    <w:rsid w:val="00A44BCF"/>
    <w:rsid w:val="00A44C58"/>
    <w:rsid w:val="00A44EE0"/>
    <w:rsid w:val="00A44F69"/>
    <w:rsid w:val="00A44FA0"/>
    <w:rsid w:val="00A45040"/>
    <w:rsid w:val="00A45079"/>
    <w:rsid w:val="00A45102"/>
    <w:rsid w:val="00A4522E"/>
    <w:rsid w:val="00A4539E"/>
    <w:rsid w:val="00A453C3"/>
    <w:rsid w:val="00A45485"/>
    <w:rsid w:val="00A45588"/>
    <w:rsid w:val="00A45831"/>
    <w:rsid w:val="00A45850"/>
    <w:rsid w:val="00A45876"/>
    <w:rsid w:val="00A45986"/>
    <w:rsid w:val="00A45CFE"/>
    <w:rsid w:val="00A46096"/>
    <w:rsid w:val="00A46254"/>
    <w:rsid w:val="00A46417"/>
    <w:rsid w:val="00A464AF"/>
    <w:rsid w:val="00A464BE"/>
    <w:rsid w:val="00A467C4"/>
    <w:rsid w:val="00A4692F"/>
    <w:rsid w:val="00A469AE"/>
    <w:rsid w:val="00A469EC"/>
    <w:rsid w:val="00A46E3E"/>
    <w:rsid w:val="00A46EFB"/>
    <w:rsid w:val="00A470E1"/>
    <w:rsid w:val="00A4770F"/>
    <w:rsid w:val="00A4794C"/>
    <w:rsid w:val="00A47AA2"/>
    <w:rsid w:val="00A47BB2"/>
    <w:rsid w:val="00A47DB2"/>
    <w:rsid w:val="00A50002"/>
    <w:rsid w:val="00A50049"/>
    <w:rsid w:val="00A5035C"/>
    <w:rsid w:val="00A50530"/>
    <w:rsid w:val="00A5070C"/>
    <w:rsid w:val="00A50984"/>
    <w:rsid w:val="00A50A47"/>
    <w:rsid w:val="00A50C96"/>
    <w:rsid w:val="00A50EE1"/>
    <w:rsid w:val="00A50FD2"/>
    <w:rsid w:val="00A50FF7"/>
    <w:rsid w:val="00A50FFB"/>
    <w:rsid w:val="00A5182B"/>
    <w:rsid w:val="00A5195A"/>
    <w:rsid w:val="00A51B45"/>
    <w:rsid w:val="00A51C0C"/>
    <w:rsid w:val="00A51DE7"/>
    <w:rsid w:val="00A52243"/>
    <w:rsid w:val="00A522FE"/>
    <w:rsid w:val="00A52349"/>
    <w:rsid w:val="00A5247B"/>
    <w:rsid w:val="00A524C5"/>
    <w:rsid w:val="00A524EC"/>
    <w:rsid w:val="00A52A61"/>
    <w:rsid w:val="00A52A8B"/>
    <w:rsid w:val="00A52B23"/>
    <w:rsid w:val="00A52CF3"/>
    <w:rsid w:val="00A52EE5"/>
    <w:rsid w:val="00A53125"/>
    <w:rsid w:val="00A531DF"/>
    <w:rsid w:val="00A53202"/>
    <w:rsid w:val="00A533C6"/>
    <w:rsid w:val="00A53482"/>
    <w:rsid w:val="00A53484"/>
    <w:rsid w:val="00A53517"/>
    <w:rsid w:val="00A536C2"/>
    <w:rsid w:val="00A53C05"/>
    <w:rsid w:val="00A5400C"/>
    <w:rsid w:val="00A54038"/>
    <w:rsid w:val="00A54062"/>
    <w:rsid w:val="00A5417D"/>
    <w:rsid w:val="00A542DE"/>
    <w:rsid w:val="00A54312"/>
    <w:rsid w:val="00A5450E"/>
    <w:rsid w:val="00A54552"/>
    <w:rsid w:val="00A5455C"/>
    <w:rsid w:val="00A545C4"/>
    <w:rsid w:val="00A5485D"/>
    <w:rsid w:val="00A54BAE"/>
    <w:rsid w:val="00A54BBE"/>
    <w:rsid w:val="00A54E57"/>
    <w:rsid w:val="00A54FBF"/>
    <w:rsid w:val="00A54FCA"/>
    <w:rsid w:val="00A54FDF"/>
    <w:rsid w:val="00A5504D"/>
    <w:rsid w:val="00A5543C"/>
    <w:rsid w:val="00A5543F"/>
    <w:rsid w:val="00A555C4"/>
    <w:rsid w:val="00A55611"/>
    <w:rsid w:val="00A5563E"/>
    <w:rsid w:val="00A5576A"/>
    <w:rsid w:val="00A55782"/>
    <w:rsid w:val="00A557A9"/>
    <w:rsid w:val="00A5584C"/>
    <w:rsid w:val="00A55A88"/>
    <w:rsid w:val="00A55ADD"/>
    <w:rsid w:val="00A55EDA"/>
    <w:rsid w:val="00A55EEB"/>
    <w:rsid w:val="00A5633B"/>
    <w:rsid w:val="00A56340"/>
    <w:rsid w:val="00A56395"/>
    <w:rsid w:val="00A564F9"/>
    <w:rsid w:val="00A5652C"/>
    <w:rsid w:val="00A5688B"/>
    <w:rsid w:val="00A568F0"/>
    <w:rsid w:val="00A569A5"/>
    <w:rsid w:val="00A56BC5"/>
    <w:rsid w:val="00A56D5E"/>
    <w:rsid w:val="00A57116"/>
    <w:rsid w:val="00A57244"/>
    <w:rsid w:val="00A573D5"/>
    <w:rsid w:val="00A576E0"/>
    <w:rsid w:val="00A5778F"/>
    <w:rsid w:val="00A577F8"/>
    <w:rsid w:val="00A57BEF"/>
    <w:rsid w:val="00A57BF5"/>
    <w:rsid w:val="00A57C0D"/>
    <w:rsid w:val="00A57C8B"/>
    <w:rsid w:val="00A57EEA"/>
    <w:rsid w:val="00A60003"/>
    <w:rsid w:val="00A6006A"/>
    <w:rsid w:val="00A601F0"/>
    <w:rsid w:val="00A602D6"/>
    <w:rsid w:val="00A602E7"/>
    <w:rsid w:val="00A60429"/>
    <w:rsid w:val="00A606AD"/>
    <w:rsid w:val="00A60969"/>
    <w:rsid w:val="00A60972"/>
    <w:rsid w:val="00A609F6"/>
    <w:rsid w:val="00A6104E"/>
    <w:rsid w:val="00A6108D"/>
    <w:rsid w:val="00A61320"/>
    <w:rsid w:val="00A61B8D"/>
    <w:rsid w:val="00A61CF9"/>
    <w:rsid w:val="00A61DFE"/>
    <w:rsid w:val="00A622FB"/>
    <w:rsid w:val="00A6235F"/>
    <w:rsid w:val="00A62386"/>
    <w:rsid w:val="00A6268F"/>
    <w:rsid w:val="00A62A8C"/>
    <w:rsid w:val="00A62C3F"/>
    <w:rsid w:val="00A62C6E"/>
    <w:rsid w:val="00A62FCA"/>
    <w:rsid w:val="00A631F3"/>
    <w:rsid w:val="00A632AC"/>
    <w:rsid w:val="00A63330"/>
    <w:rsid w:val="00A6339A"/>
    <w:rsid w:val="00A6357B"/>
    <w:rsid w:val="00A63620"/>
    <w:rsid w:val="00A63856"/>
    <w:rsid w:val="00A63897"/>
    <w:rsid w:val="00A63AC0"/>
    <w:rsid w:val="00A63C25"/>
    <w:rsid w:val="00A63CB8"/>
    <w:rsid w:val="00A63DAB"/>
    <w:rsid w:val="00A63E01"/>
    <w:rsid w:val="00A63E4E"/>
    <w:rsid w:val="00A63FDF"/>
    <w:rsid w:val="00A64163"/>
    <w:rsid w:val="00A64317"/>
    <w:rsid w:val="00A64582"/>
    <w:rsid w:val="00A64588"/>
    <w:rsid w:val="00A64731"/>
    <w:rsid w:val="00A647CA"/>
    <w:rsid w:val="00A647E3"/>
    <w:rsid w:val="00A64810"/>
    <w:rsid w:val="00A64819"/>
    <w:rsid w:val="00A649AC"/>
    <w:rsid w:val="00A64A82"/>
    <w:rsid w:val="00A64D48"/>
    <w:rsid w:val="00A64DAB"/>
    <w:rsid w:val="00A650BA"/>
    <w:rsid w:val="00A652C1"/>
    <w:rsid w:val="00A65556"/>
    <w:rsid w:val="00A65557"/>
    <w:rsid w:val="00A655AC"/>
    <w:rsid w:val="00A656CA"/>
    <w:rsid w:val="00A65808"/>
    <w:rsid w:val="00A65A12"/>
    <w:rsid w:val="00A65A39"/>
    <w:rsid w:val="00A65C34"/>
    <w:rsid w:val="00A65C3D"/>
    <w:rsid w:val="00A65DA0"/>
    <w:rsid w:val="00A65EDF"/>
    <w:rsid w:val="00A65F7F"/>
    <w:rsid w:val="00A6612D"/>
    <w:rsid w:val="00A66163"/>
    <w:rsid w:val="00A66286"/>
    <w:rsid w:val="00A664A2"/>
    <w:rsid w:val="00A665E5"/>
    <w:rsid w:val="00A66920"/>
    <w:rsid w:val="00A6697D"/>
    <w:rsid w:val="00A669DD"/>
    <w:rsid w:val="00A66BF9"/>
    <w:rsid w:val="00A66CB0"/>
    <w:rsid w:val="00A66CF5"/>
    <w:rsid w:val="00A66E4D"/>
    <w:rsid w:val="00A66E70"/>
    <w:rsid w:val="00A66E90"/>
    <w:rsid w:val="00A66F92"/>
    <w:rsid w:val="00A6754D"/>
    <w:rsid w:val="00A675B2"/>
    <w:rsid w:val="00A675C3"/>
    <w:rsid w:val="00A675DE"/>
    <w:rsid w:val="00A67698"/>
    <w:rsid w:val="00A676CD"/>
    <w:rsid w:val="00A677A3"/>
    <w:rsid w:val="00A679EC"/>
    <w:rsid w:val="00A67AB8"/>
    <w:rsid w:val="00A67D09"/>
    <w:rsid w:val="00A70318"/>
    <w:rsid w:val="00A70533"/>
    <w:rsid w:val="00A7055D"/>
    <w:rsid w:val="00A706AD"/>
    <w:rsid w:val="00A706FB"/>
    <w:rsid w:val="00A706FE"/>
    <w:rsid w:val="00A70861"/>
    <w:rsid w:val="00A708B0"/>
    <w:rsid w:val="00A70B20"/>
    <w:rsid w:val="00A70B6F"/>
    <w:rsid w:val="00A70BBB"/>
    <w:rsid w:val="00A70F20"/>
    <w:rsid w:val="00A710EF"/>
    <w:rsid w:val="00A71305"/>
    <w:rsid w:val="00A7135A"/>
    <w:rsid w:val="00A713E5"/>
    <w:rsid w:val="00A71432"/>
    <w:rsid w:val="00A7167A"/>
    <w:rsid w:val="00A71682"/>
    <w:rsid w:val="00A71987"/>
    <w:rsid w:val="00A719FF"/>
    <w:rsid w:val="00A71D96"/>
    <w:rsid w:val="00A71E0A"/>
    <w:rsid w:val="00A71F80"/>
    <w:rsid w:val="00A71F95"/>
    <w:rsid w:val="00A72084"/>
    <w:rsid w:val="00A7221E"/>
    <w:rsid w:val="00A7252A"/>
    <w:rsid w:val="00A72A06"/>
    <w:rsid w:val="00A72BA0"/>
    <w:rsid w:val="00A72C51"/>
    <w:rsid w:val="00A72C5D"/>
    <w:rsid w:val="00A72CE5"/>
    <w:rsid w:val="00A72E3D"/>
    <w:rsid w:val="00A731B7"/>
    <w:rsid w:val="00A7325D"/>
    <w:rsid w:val="00A732B1"/>
    <w:rsid w:val="00A732CA"/>
    <w:rsid w:val="00A735D1"/>
    <w:rsid w:val="00A736E8"/>
    <w:rsid w:val="00A73757"/>
    <w:rsid w:val="00A73880"/>
    <w:rsid w:val="00A73994"/>
    <w:rsid w:val="00A739CA"/>
    <w:rsid w:val="00A73B19"/>
    <w:rsid w:val="00A73C65"/>
    <w:rsid w:val="00A73DFA"/>
    <w:rsid w:val="00A73EC8"/>
    <w:rsid w:val="00A73EF8"/>
    <w:rsid w:val="00A7406B"/>
    <w:rsid w:val="00A74146"/>
    <w:rsid w:val="00A741D9"/>
    <w:rsid w:val="00A74467"/>
    <w:rsid w:val="00A744B1"/>
    <w:rsid w:val="00A7452F"/>
    <w:rsid w:val="00A746DD"/>
    <w:rsid w:val="00A74843"/>
    <w:rsid w:val="00A74BC9"/>
    <w:rsid w:val="00A74C27"/>
    <w:rsid w:val="00A74CDB"/>
    <w:rsid w:val="00A74D49"/>
    <w:rsid w:val="00A75046"/>
    <w:rsid w:val="00A75069"/>
    <w:rsid w:val="00A75119"/>
    <w:rsid w:val="00A75202"/>
    <w:rsid w:val="00A753C2"/>
    <w:rsid w:val="00A753CA"/>
    <w:rsid w:val="00A7542A"/>
    <w:rsid w:val="00A75430"/>
    <w:rsid w:val="00A75503"/>
    <w:rsid w:val="00A75903"/>
    <w:rsid w:val="00A75A07"/>
    <w:rsid w:val="00A75AA3"/>
    <w:rsid w:val="00A75FEE"/>
    <w:rsid w:val="00A75FEF"/>
    <w:rsid w:val="00A76019"/>
    <w:rsid w:val="00A76054"/>
    <w:rsid w:val="00A760A3"/>
    <w:rsid w:val="00A7616E"/>
    <w:rsid w:val="00A764A2"/>
    <w:rsid w:val="00A76680"/>
    <w:rsid w:val="00A76789"/>
    <w:rsid w:val="00A76D15"/>
    <w:rsid w:val="00A76E3B"/>
    <w:rsid w:val="00A76F50"/>
    <w:rsid w:val="00A770DB"/>
    <w:rsid w:val="00A772A6"/>
    <w:rsid w:val="00A7730D"/>
    <w:rsid w:val="00A77625"/>
    <w:rsid w:val="00A7771B"/>
    <w:rsid w:val="00A779E3"/>
    <w:rsid w:val="00A77CAC"/>
    <w:rsid w:val="00A77EA7"/>
    <w:rsid w:val="00A8010E"/>
    <w:rsid w:val="00A803E7"/>
    <w:rsid w:val="00A803F7"/>
    <w:rsid w:val="00A804A3"/>
    <w:rsid w:val="00A806A7"/>
    <w:rsid w:val="00A80DB5"/>
    <w:rsid w:val="00A80E4F"/>
    <w:rsid w:val="00A80FDF"/>
    <w:rsid w:val="00A81118"/>
    <w:rsid w:val="00A8114F"/>
    <w:rsid w:val="00A811DA"/>
    <w:rsid w:val="00A81332"/>
    <w:rsid w:val="00A8164F"/>
    <w:rsid w:val="00A81A7F"/>
    <w:rsid w:val="00A81B28"/>
    <w:rsid w:val="00A81FE5"/>
    <w:rsid w:val="00A82234"/>
    <w:rsid w:val="00A82539"/>
    <w:rsid w:val="00A826E5"/>
    <w:rsid w:val="00A82902"/>
    <w:rsid w:val="00A82E04"/>
    <w:rsid w:val="00A82F8E"/>
    <w:rsid w:val="00A830BB"/>
    <w:rsid w:val="00A833F6"/>
    <w:rsid w:val="00A836EB"/>
    <w:rsid w:val="00A83AE2"/>
    <w:rsid w:val="00A83C11"/>
    <w:rsid w:val="00A83C9A"/>
    <w:rsid w:val="00A83E3A"/>
    <w:rsid w:val="00A83F1D"/>
    <w:rsid w:val="00A8406C"/>
    <w:rsid w:val="00A8410F"/>
    <w:rsid w:val="00A842F9"/>
    <w:rsid w:val="00A84844"/>
    <w:rsid w:val="00A84A1B"/>
    <w:rsid w:val="00A84C16"/>
    <w:rsid w:val="00A84EC1"/>
    <w:rsid w:val="00A84ED0"/>
    <w:rsid w:val="00A854CC"/>
    <w:rsid w:val="00A85556"/>
    <w:rsid w:val="00A85771"/>
    <w:rsid w:val="00A85827"/>
    <w:rsid w:val="00A85875"/>
    <w:rsid w:val="00A858E1"/>
    <w:rsid w:val="00A85A1D"/>
    <w:rsid w:val="00A85C34"/>
    <w:rsid w:val="00A860AC"/>
    <w:rsid w:val="00A86329"/>
    <w:rsid w:val="00A86692"/>
    <w:rsid w:val="00A8674C"/>
    <w:rsid w:val="00A86760"/>
    <w:rsid w:val="00A86C57"/>
    <w:rsid w:val="00A86D72"/>
    <w:rsid w:val="00A8707F"/>
    <w:rsid w:val="00A870E6"/>
    <w:rsid w:val="00A8719E"/>
    <w:rsid w:val="00A8762C"/>
    <w:rsid w:val="00A87BEB"/>
    <w:rsid w:val="00A87F36"/>
    <w:rsid w:val="00A87FF0"/>
    <w:rsid w:val="00A90250"/>
    <w:rsid w:val="00A90687"/>
    <w:rsid w:val="00A90746"/>
    <w:rsid w:val="00A90882"/>
    <w:rsid w:val="00A90888"/>
    <w:rsid w:val="00A90AB3"/>
    <w:rsid w:val="00A90AFA"/>
    <w:rsid w:val="00A90C8C"/>
    <w:rsid w:val="00A90D9E"/>
    <w:rsid w:val="00A90FE7"/>
    <w:rsid w:val="00A910CB"/>
    <w:rsid w:val="00A91234"/>
    <w:rsid w:val="00A91349"/>
    <w:rsid w:val="00A91592"/>
    <w:rsid w:val="00A91778"/>
    <w:rsid w:val="00A91BC5"/>
    <w:rsid w:val="00A91CCC"/>
    <w:rsid w:val="00A91E0A"/>
    <w:rsid w:val="00A923F4"/>
    <w:rsid w:val="00A9272B"/>
    <w:rsid w:val="00A928D3"/>
    <w:rsid w:val="00A92941"/>
    <w:rsid w:val="00A92A41"/>
    <w:rsid w:val="00A92AA3"/>
    <w:rsid w:val="00A92AB9"/>
    <w:rsid w:val="00A92D03"/>
    <w:rsid w:val="00A92E0E"/>
    <w:rsid w:val="00A930FD"/>
    <w:rsid w:val="00A93252"/>
    <w:rsid w:val="00A933B7"/>
    <w:rsid w:val="00A933B8"/>
    <w:rsid w:val="00A93483"/>
    <w:rsid w:val="00A93594"/>
    <w:rsid w:val="00A935D1"/>
    <w:rsid w:val="00A936B0"/>
    <w:rsid w:val="00A936CE"/>
    <w:rsid w:val="00A93A5F"/>
    <w:rsid w:val="00A93B6C"/>
    <w:rsid w:val="00A93C43"/>
    <w:rsid w:val="00A93CAB"/>
    <w:rsid w:val="00A93D06"/>
    <w:rsid w:val="00A93E5A"/>
    <w:rsid w:val="00A93FD6"/>
    <w:rsid w:val="00A944BD"/>
    <w:rsid w:val="00A945D4"/>
    <w:rsid w:val="00A94B86"/>
    <w:rsid w:val="00A94ED8"/>
    <w:rsid w:val="00A9531E"/>
    <w:rsid w:val="00A954A5"/>
    <w:rsid w:val="00A95651"/>
    <w:rsid w:val="00A9576C"/>
    <w:rsid w:val="00A95791"/>
    <w:rsid w:val="00A95993"/>
    <w:rsid w:val="00A959BE"/>
    <w:rsid w:val="00A959D2"/>
    <w:rsid w:val="00A959ED"/>
    <w:rsid w:val="00A95AB8"/>
    <w:rsid w:val="00A95F6B"/>
    <w:rsid w:val="00A9633E"/>
    <w:rsid w:val="00A9646E"/>
    <w:rsid w:val="00A9647C"/>
    <w:rsid w:val="00A96489"/>
    <w:rsid w:val="00A968A5"/>
    <w:rsid w:val="00A96B06"/>
    <w:rsid w:val="00A96B86"/>
    <w:rsid w:val="00A96B8B"/>
    <w:rsid w:val="00A96C3E"/>
    <w:rsid w:val="00A96DD0"/>
    <w:rsid w:val="00A97029"/>
    <w:rsid w:val="00A9702B"/>
    <w:rsid w:val="00A976E4"/>
    <w:rsid w:val="00A97740"/>
    <w:rsid w:val="00A977BB"/>
    <w:rsid w:val="00A97988"/>
    <w:rsid w:val="00A97C18"/>
    <w:rsid w:val="00A97CA9"/>
    <w:rsid w:val="00AA0128"/>
    <w:rsid w:val="00AA03D6"/>
    <w:rsid w:val="00AA053A"/>
    <w:rsid w:val="00AA0540"/>
    <w:rsid w:val="00AA05E8"/>
    <w:rsid w:val="00AA0713"/>
    <w:rsid w:val="00AA0B18"/>
    <w:rsid w:val="00AA0BA7"/>
    <w:rsid w:val="00AA0BEE"/>
    <w:rsid w:val="00AA10AE"/>
    <w:rsid w:val="00AA1275"/>
    <w:rsid w:val="00AA1416"/>
    <w:rsid w:val="00AA1622"/>
    <w:rsid w:val="00AA17A9"/>
    <w:rsid w:val="00AA1817"/>
    <w:rsid w:val="00AA19E4"/>
    <w:rsid w:val="00AA1B6B"/>
    <w:rsid w:val="00AA1BFA"/>
    <w:rsid w:val="00AA1E1F"/>
    <w:rsid w:val="00AA1FBD"/>
    <w:rsid w:val="00AA1FD1"/>
    <w:rsid w:val="00AA2090"/>
    <w:rsid w:val="00AA2135"/>
    <w:rsid w:val="00AA21DF"/>
    <w:rsid w:val="00AA2494"/>
    <w:rsid w:val="00AA265C"/>
    <w:rsid w:val="00AA28F8"/>
    <w:rsid w:val="00AA2978"/>
    <w:rsid w:val="00AA29CE"/>
    <w:rsid w:val="00AA2AC9"/>
    <w:rsid w:val="00AA2AED"/>
    <w:rsid w:val="00AA2B0E"/>
    <w:rsid w:val="00AA2DF7"/>
    <w:rsid w:val="00AA2EBD"/>
    <w:rsid w:val="00AA327F"/>
    <w:rsid w:val="00AA3736"/>
    <w:rsid w:val="00AA3B6F"/>
    <w:rsid w:val="00AA3CA7"/>
    <w:rsid w:val="00AA3DE4"/>
    <w:rsid w:val="00AA3EA9"/>
    <w:rsid w:val="00AA4093"/>
    <w:rsid w:val="00AA418E"/>
    <w:rsid w:val="00AA41E3"/>
    <w:rsid w:val="00AA441D"/>
    <w:rsid w:val="00AA4660"/>
    <w:rsid w:val="00AA47F0"/>
    <w:rsid w:val="00AA48C6"/>
    <w:rsid w:val="00AA4A7D"/>
    <w:rsid w:val="00AA4A81"/>
    <w:rsid w:val="00AA4C9A"/>
    <w:rsid w:val="00AA4F5C"/>
    <w:rsid w:val="00AA5083"/>
    <w:rsid w:val="00AA51E8"/>
    <w:rsid w:val="00AA539C"/>
    <w:rsid w:val="00AA55EC"/>
    <w:rsid w:val="00AA57BB"/>
    <w:rsid w:val="00AA5856"/>
    <w:rsid w:val="00AA58E1"/>
    <w:rsid w:val="00AA59E5"/>
    <w:rsid w:val="00AA6005"/>
    <w:rsid w:val="00AA6484"/>
    <w:rsid w:val="00AA64CB"/>
    <w:rsid w:val="00AA66A7"/>
    <w:rsid w:val="00AA6811"/>
    <w:rsid w:val="00AA686F"/>
    <w:rsid w:val="00AA6B17"/>
    <w:rsid w:val="00AA6B1C"/>
    <w:rsid w:val="00AA6C5B"/>
    <w:rsid w:val="00AA6C60"/>
    <w:rsid w:val="00AA6C80"/>
    <w:rsid w:val="00AA6FF7"/>
    <w:rsid w:val="00AA7048"/>
    <w:rsid w:val="00AA70D6"/>
    <w:rsid w:val="00AA7143"/>
    <w:rsid w:val="00AA71C9"/>
    <w:rsid w:val="00AA71E6"/>
    <w:rsid w:val="00AA720C"/>
    <w:rsid w:val="00AA724C"/>
    <w:rsid w:val="00AA724F"/>
    <w:rsid w:val="00AA737F"/>
    <w:rsid w:val="00AA73D8"/>
    <w:rsid w:val="00AA74E7"/>
    <w:rsid w:val="00AA7713"/>
    <w:rsid w:val="00AA7806"/>
    <w:rsid w:val="00AA780A"/>
    <w:rsid w:val="00AA7851"/>
    <w:rsid w:val="00AA7B1B"/>
    <w:rsid w:val="00AA7B59"/>
    <w:rsid w:val="00AA7D41"/>
    <w:rsid w:val="00AA7DEE"/>
    <w:rsid w:val="00AA7EF2"/>
    <w:rsid w:val="00AB0036"/>
    <w:rsid w:val="00AB01B4"/>
    <w:rsid w:val="00AB03E1"/>
    <w:rsid w:val="00AB046B"/>
    <w:rsid w:val="00AB05B6"/>
    <w:rsid w:val="00AB0724"/>
    <w:rsid w:val="00AB0A97"/>
    <w:rsid w:val="00AB0D8F"/>
    <w:rsid w:val="00AB0E0C"/>
    <w:rsid w:val="00AB0ED2"/>
    <w:rsid w:val="00AB1266"/>
    <w:rsid w:val="00AB1466"/>
    <w:rsid w:val="00AB146E"/>
    <w:rsid w:val="00AB15DC"/>
    <w:rsid w:val="00AB15F9"/>
    <w:rsid w:val="00AB167B"/>
    <w:rsid w:val="00AB1897"/>
    <w:rsid w:val="00AB1A48"/>
    <w:rsid w:val="00AB1AA4"/>
    <w:rsid w:val="00AB1B11"/>
    <w:rsid w:val="00AB1B5B"/>
    <w:rsid w:val="00AB1C29"/>
    <w:rsid w:val="00AB1FEF"/>
    <w:rsid w:val="00AB20DA"/>
    <w:rsid w:val="00AB21B4"/>
    <w:rsid w:val="00AB23BE"/>
    <w:rsid w:val="00AB2412"/>
    <w:rsid w:val="00AB2494"/>
    <w:rsid w:val="00AB2621"/>
    <w:rsid w:val="00AB26E1"/>
    <w:rsid w:val="00AB277C"/>
    <w:rsid w:val="00AB28DB"/>
    <w:rsid w:val="00AB29CE"/>
    <w:rsid w:val="00AB2AA1"/>
    <w:rsid w:val="00AB2BC1"/>
    <w:rsid w:val="00AB2CB1"/>
    <w:rsid w:val="00AB3127"/>
    <w:rsid w:val="00AB3431"/>
    <w:rsid w:val="00AB3532"/>
    <w:rsid w:val="00AB3858"/>
    <w:rsid w:val="00AB386B"/>
    <w:rsid w:val="00AB38C9"/>
    <w:rsid w:val="00AB3CBA"/>
    <w:rsid w:val="00AB3DD7"/>
    <w:rsid w:val="00AB3F99"/>
    <w:rsid w:val="00AB413D"/>
    <w:rsid w:val="00AB42C5"/>
    <w:rsid w:val="00AB4503"/>
    <w:rsid w:val="00AB4789"/>
    <w:rsid w:val="00AB49A7"/>
    <w:rsid w:val="00AB49B1"/>
    <w:rsid w:val="00AB4A99"/>
    <w:rsid w:val="00AB4B53"/>
    <w:rsid w:val="00AB50BC"/>
    <w:rsid w:val="00AB512F"/>
    <w:rsid w:val="00AB57A9"/>
    <w:rsid w:val="00AB5A5D"/>
    <w:rsid w:val="00AB5BCB"/>
    <w:rsid w:val="00AB5C31"/>
    <w:rsid w:val="00AB5F32"/>
    <w:rsid w:val="00AB608F"/>
    <w:rsid w:val="00AB6208"/>
    <w:rsid w:val="00AB632B"/>
    <w:rsid w:val="00AB6482"/>
    <w:rsid w:val="00AB696D"/>
    <w:rsid w:val="00AB69E2"/>
    <w:rsid w:val="00AB6A75"/>
    <w:rsid w:val="00AB7021"/>
    <w:rsid w:val="00AB70AE"/>
    <w:rsid w:val="00AB723E"/>
    <w:rsid w:val="00AB7245"/>
    <w:rsid w:val="00AB73F1"/>
    <w:rsid w:val="00AB7480"/>
    <w:rsid w:val="00AB765E"/>
    <w:rsid w:val="00AB7684"/>
    <w:rsid w:val="00AB77D4"/>
    <w:rsid w:val="00AB785A"/>
    <w:rsid w:val="00AB78D6"/>
    <w:rsid w:val="00AB7B43"/>
    <w:rsid w:val="00AB7C0F"/>
    <w:rsid w:val="00AB7DE4"/>
    <w:rsid w:val="00AB7F6A"/>
    <w:rsid w:val="00AC0515"/>
    <w:rsid w:val="00AC071C"/>
    <w:rsid w:val="00AC0748"/>
    <w:rsid w:val="00AC09DB"/>
    <w:rsid w:val="00AC12D9"/>
    <w:rsid w:val="00AC141D"/>
    <w:rsid w:val="00AC15F8"/>
    <w:rsid w:val="00AC1706"/>
    <w:rsid w:val="00AC17ED"/>
    <w:rsid w:val="00AC185A"/>
    <w:rsid w:val="00AC1A51"/>
    <w:rsid w:val="00AC1B3B"/>
    <w:rsid w:val="00AC1C69"/>
    <w:rsid w:val="00AC1D66"/>
    <w:rsid w:val="00AC1F1B"/>
    <w:rsid w:val="00AC2020"/>
    <w:rsid w:val="00AC21C7"/>
    <w:rsid w:val="00AC21F5"/>
    <w:rsid w:val="00AC233A"/>
    <w:rsid w:val="00AC2443"/>
    <w:rsid w:val="00AC26B1"/>
    <w:rsid w:val="00AC277F"/>
    <w:rsid w:val="00AC28D4"/>
    <w:rsid w:val="00AC2C10"/>
    <w:rsid w:val="00AC2C32"/>
    <w:rsid w:val="00AC2F37"/>
    <w:rsid w:val="00AC2FF0"/>
    <w:rsid w:val="00AC319B"/>
    <w:rsid w:val="00AC32F2"/>
    <w:rsid w:val="00AC353E"/>
    <w:rsid w:val="00AC3542"/>
    <w:rsid w:val="00AC38ED"/>
    <w:rsid w:val="00AC3AAD"/>
    <w:rsid w:val="00AC3B16"/>
    <w:rsid w:val="00AC3D57"/>
    <w:rsid w:val="00AC3E88"/>
    <w:rsid w:val="00AC4065"/>
    <w:rsid w:val="00AC4157"/>
    <w:rsid w:val="00AC41FF"/>
    <w:rsid w:val="00AC4518"/>
    <w:rsid w:val="00AC4614"/>
    <w:rsid w:val="00AC46E7"/>
    <w:rsid w:val="00AC477E"/>
    <w:rsid w:val="00AC4C78"/>
    <w:rsid w:val="00AC4C7B"/>
    <w:rsid w:val="00AC4DAB"/>
    <w:rsid w:val="00AC4DF5"/>
    <w:rsid w:val="00AC4FD0"/>
    <w:rsid w:val="00AC5154"/>
    <w:rsid w:val="00AC5158"/>
    <w:rsid w:val="00AC5197"/>
    <w:rsid w:val="00AC5226"/>
    <w:rsid w:val="00AC525A"/>
    <w:rsid w:val="00AC5319"/>
    <w:rsid w:val="00AC5414"/>
    <w:rsid w:val="00AC54FF"/>
    <w:rsid w:val="00AC5663"/>
    <w:rsid w:val="00AC56DD"/>
    <w:rsid w:val="00AC581E"/>
    <w:rsid w:val="00AC58D9"/>
    <w:rsid w:val="00AC5AC1"/>
    <w:rsid w:val="00AC5CBC"/>
    <w:rsid w:val="00AC5D58"/>
    <w:rsid w:val="00AC5FCF"/>
    <w:rsid w:val="00AC6228"/>
    <w:rsid w:val="00AC640F"/>
    <w:rsid w:val="00AC6457"/>
    <w:rsid w:val="00AC674D"/>
    <w:rsid w:val="00AC6786"/>
    <w:rsid w:val="00AC6811"/>
    <w:rsid w:val="00AC6B06"/>
    <w:rsid w:val="00AC6E6A"/>
    <w:rsid w:val="00AC6E78"/>
    <w:rsid w:val="00AC6E96"/>
    <w:rsid w:val="00AC6F27"/>
    <w:rsid w:val="00AC722F"/>
    <w:rsid w:val="00AC74A8"/>
    <w:rsid w:val="00AC75E9"/>
    <w:rsid w:val="00AC7631"/>
    <w:rsid w:val="00AC770B"/>
    <w:rsid w:val="00AC7800"/>
    <w:rsid w:val="00AC7A50"/>
    <w:rsid w:val="00AC7BC1"/>
    <w:rsid w:val="00AC7DC1"/>
    <w:rsid w:val="00AC7E66"/>
    <w:rsid w:val="00AC7E67"/>
    <w:rsid w:val="00AC7E96"/>
    <w:rsid w:val="00AC7F43"/>
    <w:rsid w:val="00AC7F6C"/>
    <w:rsid w:val="00AD015A"/>
    <w:rsid w:val="00AD0232"/>
    <w:rsid w:val="00AD076D"/>
    <w:rsid w:val="00AD0875"/>
    <w:rsid w:val="00AD0CB2"/>
    <w:rsid w:val="00AD0D7F"/>
    <w:rsid w:val="00AD0E49"/>
    <w:rsid w:val="00AD0FC7"/>
    <w:rsid w:val="00AD1082"/>
    <w:rsid w:val="00AD10D3"/>
    <w:rsid w:val="00AD1323"/>
    <w:rsid w:val="00AD14C1"/>
    <w:rsid w:val="00AD1697"/>
    <w:rsid w:val="00AD177F"/>
    <w:rsid w:val="00AD1924"/>
    <w:rsid w:val="00AD1A57"/>
    <w:rsid w:val="00AD1B9D"/>
    <w:rsid w:val="00AD204E"/>
    <w:rsid w:val="00AD2168"/>
    <w:rsid w:val="00AD21FD"/>
    <w:rsid w:val="00AD22B1"/>
    <w:rsid w:val="00AD2345"/>
    <w:rsid w:val="00AD2358"/>
    <w:rsid w:val="00AD2BF9"/>
    <w:rsid w:val="00AD2E65"/>
    <w:rsid w:val="00AD2F5B"/>
    <w:rsid w:val="00AD30B5"/>
    <w:rsid w:val="00AD330F"/>
    <w:rsid w:val="00AD3362"/>
    <w:rsid w:val="00AD3641"/>
    <w:rsid w:val="00AD37F3"/>
    <w:rsid w:val="00AD39B4"/>
    <w:rsid w:val="00AD3A9F"/>
    <w:rsid w:val="00AD3DAC"/>
    <w:rsid w:val="00AD3DE8"/>
    <w:rsid w:val="00AD401C"/>
    <w:rsid w:val="00AD40EA"/>
    <w:rsid w:val="00AD41D0"/>
    <w:rsid w:val="00AD4449"/>
    <w:rsid w:val="00AD45C1"/>
    <w:rsid w:val="00AD4873"/>
    <w:rsid w:val="00AD4891"/>
    <w:rsid w:val="00AD49F5"/>
    <w:rsid w:val="00AD4A80"/>
    <w:rsid w:val="00AD4D0B"/>
    <w:rsid w:val="00AD4D6F"/>
    <w:rsid w:val="00AD4E91"/>
    <w:rsid w:val="00AD4ECF"/>
    <w:rsid w:val="00AD509C"/>
    <w:rsid w:val="00AD5166"/>
    <w:rsid w:val="00AD5912"/>
    <w:rsid w:val="00AD5DB1"/>
    <w:rsid w:val="00AD5F71"/>
    <w:rsid w:val="00AD6483"/>
    <w:rsid w:val="00AD6715"/>
    <w:rsid w:val="00AD67BF"/>
    <w:rsid w:val="00AD6920"/>
    <w:rsid w:val="00AD69BC"/>
    <w:rsid w:val="00AD69E9"/>
    <w:rsid w:val="00AD6BAA"/>
    <w:rsid w:val="00AD6BEB"/>
    <w:rsid w:val="00AD6C9D"/>
    <w:rsid w:val="00AD6EF0"/>
    <w:rsid w:val="00AD707E"/>
    <w:rsid w:val="00AD7153"/>
    <w:rsid w:val="00AD7316"/>
    <w:rsid w:val="00AD7324"/>
    <w:rsid w:val="00AD7554"/>
    <w:rsid w:val="00AD7820"/>
    <w:rsid w:val="00AD79F0"/>
    <w:rsid w:val="00AD7F69"/>
    <w:rsid w:val="00AD7FCE"/>
    <w:rsid w:val="00AE006B"/>
    <w:rsid w:val="00AE0131"/>
    <w:rsid w:val="00AE0165"/>
    <w:rsid w:val="00AE0226"/>
    <w:rsid w:val="00AE023A"/>
    <w:rsid w:val="00AE06D9"/>
    <w:rsid w:val="00AE074A"/>
    <w:rsid w:val="00AE084C"/>
    <w:rsid w:val="00AE0876"/>
    <w:rsid w:val="00AE0BEF"/>
    <w:rsid w:val="00AE0C87"/>
    <w:rsid w:val="00AE0E39"/>
    <w:rsid w:val="00AE102C"/>
    <w:rsid w:val="00AE10CB"/>
    <w:rsid w:val="00AE1389"/>
    <w:rsid w:val="00AE1448"/>
    <w:rsid w:val="00AE1466"/>
    <w:rsid w:val="00AE165F"/>
    <w:rsid w:val="00AE167F"/>
    <w:rsid w:val="00AE16B2"/>
    <w:rsid w:val="00AE19C8"/>
    <w:rsid w:val="00AE1A2E"/>
    <w:rsid w:val="00AE1C30"/>
    <w:rsid w:val="00AE1CC5"/>
    <w:rsid w:val="00AE1D2E"/>
    <w:rsid w:val="00AE1DA2"/>
    <w:rsid w:val="00AE26CC"/>
    <w:rsid w:val="00AE26ED"/>
    <w:rsid w:val="00AE26FD"/>
    <w:rsid w:val="00AE272A"/>
    <w:rsid w:val="00AE2C1A"/>
    <w:rsid w:val="00AE2CCD"/>
    <w:rsid w:val="00AE2E3E"/>
    <w:rsid w:val="00AE2E54"/>
    <w:rsid w:val="00AE2EA8"/>
    <w:rsid w:val="00AE322B"/>
    <w:rsid w:val="00AE33D5"/>
    <w:rsid w:val="00AE394B"/>
    <w:rsid w:val="00AE3D23"/>
    <w:rsid w:val="00AE3FA1"/>
    <w:rsid w:val="00AE4423"/>
    <w:rsid w:val="00AE4647"/>
    <w:rsid w:val="00AE4667"/>
    <w:rsid w:val="00AE469B"/>
    <w:rsid w:val="00AE4A0C"/>
    <w:rsid w:val="00AE4AE8"/>
    <w:rsid w:val="00AE4C2A"/>
    <w:rsid w:val="00AE4CE2"/>
    <w:rsid w:val="00AE4E6D"/>
    <w:rsid w:val="00AE4F02"/>
    <w:rsid w:val="00AE526D"/>
    <w:rsid w:val="00AE5332"/>
    <w:rsid w:val="00AE53F0"/>
    <w:rsid w:val="00AE5413"/>
    <w:rsid w:val="00AE54CA"/>
    <w:rsid w:val="00AE5633"/>
    <w:rsid w:val="00AE56BB"/>
    <w:rsid w:val="00AE58C1"/>
    <w:rsid w:val="00AE5922"/>
    <w:rsid w:val="00AE5B93"/>
    <w:rsid w:val="00AE5D64"/>
    <w:rsid w:val="00AE5F50"/>
    <w:rsid w:val="00AE61DD"/>
    <w:rsid w:val="00AE621F"/>
    <w:rsid w:val="00AE631F"/>
    <w:rsid w:val="00AE6451"/>
    <w:rsid w:val="00AE6A04"/>
    <w:rsid w:val="00AE6D70"/>
    <w:rsid w:val="00AE6DEA"/>
    <w:rsid w:val="00AE6F16"/>
    <w:rsid w:val="00AE703D"/>
    <w:rsid w:val="00AE71FD"/>
    <w:rsid w:val="00AE72F3"/>
    <w:rsid w:val="00AE732D"/>
    <w:rsid w:val="00AE758F"/>
    <w:rsid w:val="00AE7A80"/>
    <w:rsid w:val="00AE7BCB"/>
    <w:rsid w:val="00AE7DEE"/>
    <w:rsid w:val="00AE7E51"/>
    <w:rsid w:val="00AF019E"/>
    <w:rsid w:val="00AF027A"/>
    <w:rsid w:val="00AF0604"/>
    <w:rsid w:val="00AF0672"/>
    <w:rsid w:val="00AF06B4"/>
    <w:rsid w:val="00AF0AF0"/>
    <w:rsid w:val="00AF0B60"/>
    <w:rsid w:val="00AF0C1E"/>
    <w:rsid w:val="00AF0C9E"/>
    <w:rsid w:val="00AF0CE2"/>
    <w:rsid w:val="00AF0D43"/>
    <w:rsid w:val="00AF0E85"/>
    <w:rsid w:val="00AF1023"/>
    <w:rsid w:val="00AF1110"/>
    <w:rsid w:val="00AF11FC"/>
    <w:rsid w:val="00AF12D0"/>
    <w:rsid w:val="00AF15B4"/>
    <w:rsid w:val="00AF16EF"/>
    <w:rsid w:val="00AF1A41"/>
    <w:rsid w:val="00AF1AB1"/>
    <w:rsid w:val="00AF1C81"/>
    <w:rsid w:val="00AF1DAC"/>
    <w:rsid w:val="00AF2126"/>
    <w:rsid w:val="00AF21B8"/>
    <w:rsid w:val="00AF227D"/>
    <w:rsid w:val="00AF2351"/>
    <w:rsid w:val="00AF245A"/>
    <w:rsid w:val="00AF2571"/>
    <w:rsid w:val="00AF2827"/>
    <w:rsid w:val="00AF2B01"/>
    <w:rsid w:val="00AF2B0A"/>
    <w:rsid w:val="00AF2C93"/>
    <w:rsid w:val="00AF2E59"/>
    <w:rsid w:val="00AF2F18"/>
    <w:rsid w:val="00AF33B1"/>
    <w:rsid w:val="00AF3426"/>
    <w:rsid w:val="00AF3461"/>
    <w:rsid w:val="00AF36C9"/>
    <w:rsid w:val="00AF3726"/>
    <w:rsid w:val="00AF39D1"/>
    <w:rsid w:val="00AF3A5C"/>
    <w:rsid w:val="00AF3DB1"/>
    <w:rsid w:val="00AF3E23"/>
    <w:rsid w:val="00AF3E43"/>
    <w:rsid w:val="00AF3E81"/>
    <w:rsid w:val="00AF412A"/>
    <w:rsid w:val="00AF4365"/>
    <w:rsid w:val="00AF43DA"/>
    <w:rsid w:val="00AF45AC"/>
    <w:rsid w:val="00AF46A5"/>
    <w:rsid w:val="00AF47BF"/>
    <w:rsid w:val="00AF4858"/>
    <w:rsid w:val="00AF4B11"/>
    <w:rsid w:val="00AF4CB5"/>
    <w:rsid w:val="00AF4DBC"/>
    <w:rsid w:val="00AF50E9"/>
    <w:rsid w:val="00AF5147"/>
    <w:rsid w:val="00AF535E"/>
    <w:rsid w:val="00AF53D5"/>
    <w:rsid w:val="00AF5467"/>
    <w:rsid w:val="00AF54A8"/>
    <w:rsid w:val="00AF5633"/>
    <w:rsid w:val="00AF5907"/>
    <w:rsid w:val="00AF5A2A"/>
    <w:rsid w:val="00AF5C08"/>
    <w:rsid w:val="00AF5C9D"/>
    <w:rsid w:val="00AF5D58"/>
    <w:rsid w:val="00AF5D8D"/>
    <w:rsid w:val="00AF5DBE"/>
    <w:rsid w:val="00AF5F77"/>
    <w:rsid w:val="00AF5FB0"/>
    <w:rsid w:val="00AF5FE1"/>
    <w:rsid w:val="00AF605F"/>
    <w:rsid w:val="00AF6170"/>
    <w:rsid w:val="00AF6248"/>
    <w:rsid w:val="00AF6281"/>
    <w:rsid w:val="00AF6353"/>
    <w:rsid w:val="00AF642C"/>
    <w:rsid w:val="00AF6639"/>
    <w:rsid w:val="00AF66B1"/>
    <w:rsid w:val="00AF6703"/>
    <w:rsid w:val="00AF67D2"/>
    <w:rsid w:val="00AF67E8"/>
    <w:rsid w:val="00AF6986"/>
    <w:rsid w:val="00AF6A06"/>
    <w:rsid w:val="00AF6E49"/>
    <w:rsid w:val="00AF6F6C"/>
    <w:rsid w:val="00AF6F89"/>
    <w:rsid w:val="00AF7138"/>
    <w:rsid w:val="00AF7178"/>
    <w:rsid w:val="00AF7284"/>
    <w:rsid w:val="00AF7319"/>
    <w:rsid w:val="00AF737E"/>
    <w:rsid w:val="00AF73A5"/>
    <w:rsid w:val="00AF740B"/>
    <w:rsid w:val="00AF747F"/>
    <w:rsid w:val="00AF74D5"/>
    <w:rsid w:val="00AF758E"/>
    <w:rsid w:val="00AF7701"/>
    <w:rsid w:val="00AF7819"/>
    <w:rsid w:val="00AF7914"/>
    <w:rsid w:val="00AF7A33"/>
    <w:rsid w:val="00AF7B94"/>
    <w:rsid w:val="00AF7BB0"/>
    <w:rsid w:val="00AF7D68"/>
    <w:rsid w:val="00AF7E84"/>
    <w:rsid w:val="00AF7F45"/>
    <w:rsid w:val="00AF7F75"/>
    <w:rsid w:val="00B00031"/>
    <w:rsid w:val="00B000D4"/>
    <w:rsid w:val="00B001AB"/>
    <w:rsid w:val="00B002E0"/>
    <w:rsid w:val="00B0046C"/>
    <w:rsid w:val="00B004B3"/>
    <w:rsid w:val="00B005F8"/>
    <w:rsid w:val="00B008CC"/>
    <w:rsid w:val="00B00993"/>
    <w:rsid w:val="00B00A2E"/>
    <w:rsid w:val="00B00A6E"/>
    <w:rsid w:val="00B00B5E"/>
    <w:rsid w:val="00B00BE5"/>
    <w:rsid w:val="00B00D79"/>
    <w:rsid w:val="00B00DD8"/>
    <w:rsid w:val="00B00DEF"/>
    <w:rsid w:val="00B00DFD"/>
    <w:rsid w:val="00B00E7D"/>
    <w:rsid w:val="00B00E90"/>
    <w:rsid w:val="00B00EB1"/>
    <w:rsid w:val="00B00FCF"/>
    <w:rsid w:val="00B011DE"/>
    <w:rsid w:val="00B013CA"/>
    <w:rsid w:val="00B01701"/>
    <w:rsid w:val="00B01830"/>
    <w:rsid w:val="00B0188B"/>
    <w:rsid w:val="00B018C1"/>
    <w:rsid w:val="00B01AE9"/>
    <w:rsid w:val="00B01BCE"/>
    <w:rsid w:val="00B01C1B"/>
    <w:rsid w:val="00B01D19"/>
    <w:rsid w:val="00B01EDA"/>
    <w:rsid w:val="00B01F94"/>
    <w:rsid w:val="00B0200B"/>
    <w:rsid w:val="00B02362"/>
    <w:rsid w:val="00B0252C"/>
    <w:rsid w:val="00B0282A"/>
    <w:rsid w:val="00B029B0"/>
    <w:rsid w:val="00B02ABC"/>
    <w:rsid w:val="00B02CDC"/>
    <w:rsid w:val="00B02D72"/>
    <w:rsid w:val="00B02D75"/>
    <w:rsid w:val="00B02ED7"/>
    <w:rsid w:val="00B02F67"/>
    <w:rsid w:val="00B02F7A"/>
    <w:rsid w:val="00B03044"/>
    <w:rsid w:val="00B030AD"/>
    <w:rsid w:val="00B0312E"/>
    <w:rsid w:val="00B032C0"/>
    <w:rsid w:val="00B03595"/>
    <w:rsid w:val="00B03608"/>
    <w:rsid w:val="00B03A47"/>
    <w:rsid w:val="00B03B68"/>
    <w:rsid w:val="00B03C48"/>
    <w:rsid w:val="00B03DDE"/>
    <w:rsid w:val="00B044EE"/>
    <w:rsid w:val="00B0454C"/>
    <w:rsid w:val="00B049B7"/>
    <w:rsid w:val="00B04ADB"/>
    <w:rsid w:val="00B04B7B"/>
    <w:rsid w:val="00B04C99"/>
    <w:rsid w:val="00B04D96"/>
    <w:rsid w:val="00B05230"/>
    <w:rsid w:val="00B0551B"/>
    <w:rsid w:val="00B05551"/>
    <w:rsid w:val="00B0561F"/>
    <w:rsid w:val="00B05863"/>
    <w:rsid w:val="00B059A8"/>
    <w:rsid w:val="00B05B17"/>
    <w:rsid w:val="00B05D72"/>
    <w:rsid w:val="00B05F1C"/>
    <w:rsid w:val="00B061AD"/>
    <w:rsid w:val="00B06223"/>
    <w:rsid w:val="00B063C8"/>
    <w:rsid w:val="00B06408"/>
    <w:rsid w:val="00B06505"/>
    <w:rsid w:val="00B0662E"/>
    <w:rsid w:val="00B06B40"/>
    <w:rsid w:val="00B06C14"/>
    <w:rsid w:val="00B06F89"/>
    <w:rsid w:val="00B0700A"/>
    <w:rsid w:val="00B07170"/>
    <w:rsid w:val="00B07256"/>
    <w:rsid w:val="00B072AA"/>
    <w:rsid w:val="00B07358"/>
    <w:rsid w:val="00B07527"/>
    <w:rsid w:val="00B07682"/>
    <w:rsid w:val="00B078F4"/>
    <w:rsid w:val="00B0791E"/>
    <w:rsid w:val="00B079E9"/>
    <w:rsid w:val="00B07A66"/>
    <w:rsid w:val="00B07DC1"/>
    <w:rsid w:val="00B07EB6"/>
    <w:rsid w:val="00B07EF4"/>
    <w:rsid w:val="00B1011A"/>
    <w:rsid w:val="00B10175"/>
    <w:rsid w:val="00B101BE"/>
    <w:rsid w:val="00B1030B"/>
    <w:rsid w:val="00B103B4"/>
    <w:rsid w:val="00B10402"/>
    <w:rsid w:val="00B104D8"/>
    <w:rsid w:val="00B105F1"/>
    <w:rsid w:val="00B1073A"/>
    <w:rsid w:val="00B1074D"/>
    <w:rsid w:val="00B1081B"/>
    <w:rsid w:val="00B109CD"/>
    <w:rsid w:val="00B109E5"/>
    <w:rsid w:val="00B10CED"/>
    <w:rsid w:val="00B10D0D"/>
    <w:rsid w:val="00B10D60"/>
    <w:rsid w:val="00B10DC7"/>
    <w:rsid w:val="00B110F7"/>
    <w:rsid w:val="00B11310"/>
    <w:rsid w:val="00B113E3"/>
    <w:rsid w:val="00B113EA"/>
    <w:rsid w:val="00B11496"/>
    <w:rsid w:val="00B115CF"/>
    <w:rsid w:val="00B11711"/>
    <w:rsid w:val="00B117C0"/>
    <w:rsid w:val="00B11A2B"/>
    <w:rsid w:val="00B11A4D"/>
    <w:rsid w:val="00B11A67"/>
    <w:rsid w:val="00B11B56"/>
    <w:rsid w:val="00B11CD1"/>
    <w:rsid w:val="00B1214A"/>
    <w:rsid w:val="00B123A7"/>
    <w:rsid w:val="00B1259E"/>
    <w:rsid w:val="00B12A4C"/>
    <w:rsid w:val="00B12A65"/>
    <w:rsid w:val="00B12A90"/>
    <w:rsid w:val="00B12D08"/>
    <w:rsid w:val="00B12D5D"/>
    <w:rsid w:val="00B12EFA"/>
    <w:rsid w:val="00B12F14"/>
    <w:rsid w:val="00B12F21"/>
    <w:rsid w:val="00B12FBD"/>
    <w:rsid w:val="00B131F2"/>
    <w:rsid w:val="00B1325C"/>
    <w:rsid w:val="00B1349E"/>
    <w:rsid w:val="00B1359B"/>
    <w:rsid w:val="00B13601"/>
    <w:rsid w:val="00B136FB"/>
    <w:rsid w:val="00B138AC"/>
    <w:rsid w:val="00B139E4"/>
    <w:rsid w:val="00B13C60"/>
    <w:rsid w:val="00B13CC4"/>
    <w:rsid w:val="00B13E1C"/>
    <w:rsid w:val="00B13E66"/>
    <w:rsid w:val="00B13F0B"/>
    <w:rsid w:val="00B140FB"/>
    <w:rsid w:val="00B144C1"/>
    <w:rsid w:val="00B144D4"/>
    <w:rsid w:val="00B145D3"/>
    <w:rsid w:val="00B1483E"/>
    <w:rsid w:val="00B14951"/>
    <w:rsid w:val="00B14A40"/>
    <w:rsid w:val="00B14C5B"/>
    <w:rsid w:val="00B15192"/>
    <w:rsid w:val="00B1527A"/>
    <w:rsid w:val="00B158CA"/>
    <w:rsid w:val="00B15A7E"/>
    <w:rsid w:val="00B15C6D"/>
    <w:rsid w:val="00B15D72"/>
    <w:rsid w:val="00B1627F"/>
    <w:rsid w:val="00B16341"/>
    <w:rsid w:val="00B16388"/>
    <w:rsid w:val="00B164B0"/>
    <w:rsid w:val="00B167BA"/>
    <w:rsid w:val="00B16C85"/>
    <w:rsid w:val="00B16FAB"/>
    <w:rsid w:val="00B173AB"/>
    <w:rsid w:val="00B174C2"/>
    <w:rsid w:val="00B17611"/>
    <w:rsid w:val="00B1770D"/>
    <w:rsid w:val="00B17938"/>
    <w:rsid w:val="00B17D5A"/>
    <w:rsid w:val="00B17E15"/>
    <w:rsid w:val="00B17E33"/>
    <w:rsid w:val="00B17F63"/>
    <w:rsid w:val="00B20343"/>
    <w:rsid w:val="00B20525"/>
    <w:rsid w:val="00B20A90"/>
    <w:rsid w:val="00B20ABB"/>
    <w:rsid w:val="00B20B6F"/>
    <w:rsid w:val="00B20B9B"/>
    <w:rsid w:val="00B20C09"/>
    <w:rsid w:val="00B20FA0"/>
    <w:rsid w:val="00B211E8"/>
    <w:rsid w:val="00B212C9"/>
    <w:rsid w:val="00B216FC"/>
    <w:rsid w:val="00B218D9"/>
    <w:rsid w:val="00B21A65"/>
    <w:rsid w:val="00B21BE2"/>
    <w:rsid w:val="00B21E66"/>
    <w:rsid w:val="00B21F7B"/>
    <w:rsid w:val="00B220FC"/>
    <w:rsid w:val="00B221B5"/>
    <w:rsid w:val="00B22395"/>
    <w:rsid w:val="00B226E0"/>
    <w:rsid w:val="00B22B03"/>
    <w:rsid w:val="00B23483"/>
    <w:rsid w:val="00B237B6"/>
    <w:rsid w:val="00B2391E"/>
    <w:rsid w:val="00B23ACB"/>
    <w:rsid w:val="00B23D78"/>
    <w:rsid w:val="00B23E0C"/>
    <w:rsid w:val="00B23E86"/>
    <w:rsid w:val="00B23E9E"/>
    <w:rsid w:val="00B23EC8"/>
    <w:rsid w:val="00B240C0"/>
    <w:rsid w:val="00B2423C"/>
    <w:rsid w:val="00B242CE"/>
    <w:rsid w:val="00B244C2"/>
    <w:rsid w:val="00B24830"/>
    <w:rsid w:val="00B2484F"/>
    <w:rsid w:val="00B24A2C"/>
    <w:rsid w:val="00B24D39"/>
    <w:rsid w:val="00B24F6F"/>
    <w:rsid w:val="00B24FD7"/>
    <w:rsid w:val="00B25288"/>
    <w:rsid w:val="00B25298"/>
    <w:rsid w:val="00B2553A"/>
    <w:rsid w:val="00B255EE"/>
    <w:rsid w:val="00B256DA"/>
    <w:rsid w:val="00B25896"/>
    <w:rsid w:val="00B258DC"/>
    <w:rsid w:val="00B25DA9"/>
    <w:rsid w:val="00B25F86"/>
    <w:rsid w:val="00B26063"/>
    <w:rsid w:val="00B26223"/>
    <w:rsid w:val="00B262F4"/>
    <w:rsid w:val="00B265F4"/>
    <w:rsid w:val="00B267B2"/>
    <w:rsid w:val="00B26836"/>
    <w:rsid w:val="00B26897"/>
    <w:rsid w:val="00B26903"/>
    <w:rsid w:val="00B2692D"/>
    <w:rsid w:val="00B269BE"/>
    <w:rsid w:val="00B26AB1"/>
    <w:rsid w:val="00B26C6C"/>
    <w:rsid w:val="00B26CAE"/>
    <w:rsid w:val="00B26D6E"/>
    <w:rsid w:val="00B26E3A"/>
    <w:rsid w:val="00B26F6D"/>
    <w:rsid w:val="00B272B0"/>
    <w:rsid w:val="00B27347"/>
    <w:rsid w:val="00B273A2"/>
    <w:rsid w:val="00B273C8"/>
    <w:rsid w:val="00B274C5"/>
    <w:rsid w:val="00B275C2"/>
    <w:rsid w:val="00B27706"/>
    <w:rsid w:val="00B27C7B"/>
    <w:rsid w:val="00B27FA0"/>
    <w:rsid w:val="00B304CC"/>
    <w:rsid w:val="00B3051A"/>
    <w:rsid w:val="00B30530"/>
    <w:rsid w:val="00B30AE5"/>
    <w:rsid w:val="00B30E6C"/>
    <w:rsid w:val="00B30FA7"/>
    <w:rsid w:val="00B3100D"/>
    <w:rsid w:val="00B3103E"/>
    <w:rsid w:val="00B310B4"/>
    <w:rsid w:val="00B31102"/>
    <w:rsid w:val="00B3124C"/>
    <w:rsid w:val="00B3128F"/>
    <w:rsid w:val="00B3132B"/>
    <w:rsid w:val="00B31353"/>
    <w:rsid w:val="00B3138E"/>
    <w:rsid w:val="00B314F1"/>
    <w:rsid w:val="00B3167E"/>
    <w:rsid w:val="00B31737"/>
    <w:rsid w:val="00B31904"/>
    <w:rsid w:val="00B31B93"/>
    <w:rsid w:val="00B31C8C"/>
    <w:rsid w:val="00B31CFB"/>
    <w:rsid w:val="00B31ECB"/>
    <w:rsid w:val="00B31EDA"/>
    <w:rsid w:val="00B31EF7"/>
    <w:rsid w:val="00B320D1"/>
    <w:rsid w:val="00B32412"/>
    <w:rsid w:val="00B3257E"/>
    <w:rsid w:val="00B32821"/>
    <w:rsid w:val="00B3288B"/>
    <w:rsid w:val="00B3298C"/>
    <w:rsid w:val="00B329AA"/>
    <w:rsid w:val="00B32B95"/>
    <w:rsid w:val="00B33058"/>
    <w:rsid w:val="00B33188"/>
    <w:rsid w:val="00B3331E"/>
    <w:rsid w:val="00B334D6"/>
    <w:rsid w:val="00B3372C"/>
    <w:rsid w:val="00B33749"/>
    <w:rsid w:val="00B33770"/>
    <w:rsid w:val="00B33879"/>
    <w:rsid w:val="00B338EE"/>
    <w:rsid w:val="00B33B5F"/>
    <w:rsid w:val="00B33D5B"/>
    <w:rsid w:val="00B33E12"/>
    <w:rsid w:val="00B34325"/>
    <w:rsid w:val="00B344D9"/>
    <w:rsid w:val="00B348B5"/>
    <w:rsid w:val="00B348F4"/>
    <w:rsid w:val="00B34973"/>
    <w:rsid w:val="00B34C6E"/>
    <w:rsid w:val="00B34DEC"/>
    <w:rsid w:val="00B34FC6"/>
    <w:rsid w:val="00B34FDB"/>
    <w:rsid w:val="00B35064"/>
    <w:rsid w:val="00B35172"/>
    <w:rsid w:val="00B351F5"/>
    <w:rsid w:val="00B353E1"/>
    <w:rsid w:val="00B3540B"/>
    <w:rsid w:val="00B35418"/>
    <w:rsid w:val="00B3558E"/>
    <w:rsid w:val="00B35709"/>
    <w:rsid w:val="00B35777"/>
    <w:rsid w:val="00B35840"/>
    <w:rsid w:val="00B358B4"/>
    <w:rsid w:val="00B35AC0"/>
    <w:rsid w:val="00B35AD3"/>
    <w:rsid w:val="00B35E74"/>
    <w:rsid w:val="00B35F76"/>
    <w:rsid w:val="00B3601E"/>
    <w:rsid w:val="00B36087"/>
    <w:rsid w:val="00B362F8"/>
    <w:rsid w:val="00B363D0"/>
    <w:rsid w:val="00B36997"/>
    <w:rsid w:val="00B36F45"/>
    <w:rsid w:val="00B36F80"/>
    <w:rsid w:val="00B37093"/>
    <w:rsid w:val="00B371AF"/>
    <w:rsid w:val="00B371B3"/>
    <w:rsid w:val="00B371F1"/>
    <w:rsid w:val="00B37213"/>
    <w:rsid w:val="00B3728F"/>
    <w:rsid w:val="00B37340"/>
    <w:rsid w:val="00B37480"/>
    <w:rsid w:val="00B37759"/>
    <w:rsid w:val="00B37A41"/>
    <w:rsid w:val="00B37B8C"/>
    <w:rsid w:val="00B37CB1"/>
    <w:rsid w:val="00B37F65"/>
    <w:rsid w:val="00B4003D"/>
    <w:rsid w:val="00B4010A"/>
    <w:rsid w:val="00B40149"/>
    <w:rsid w:val="00B40613"/>
    <w:rsid w:val="00B40CEA"/>
    <w:rsid w:val="00B40D0E"/>
    <w:rsid w:val="00B40F08"/>
    <w:rsid w:val="00B41221"/>
    <w:rsid w:val="00B41261"/>
    <w:rsid w:val="00B414E6"/>
    <w:rsid w:val="00B4154C"/>
    <w:rsid w:val="00B4176F"/>
    <w:rsid w:val="00B41799"/>
    <w:rsid w:val="00B417D6"/>
    <w:rsid w:val="00B41A03"/>
    <w:rsid w:val="00B41B29"/>
    <w:rsid w:val="00B41B81"/>
    <w:rsid w:val="00B41C32"/>
    <w:rsid w:val="00B41F0E"/>
    <w:rsid w:val="00B42215"/>
    <w:rsid w:val="00B422F9"/>
    <w:rsid w:val="00B423FC"/>
    <w:rsid w:val="00B425FC"/>
    <w:rsid w:val="00B42647"/>
    <w:rsid w:val="00B426E1"/>
    <w:rsid w:val="00B42775"/>
    <w:rsid w:val="00B42942"/>
    <w:rsid w:val="00B42B7E"/>
    <w:rsid w:val="00B42BED"/>
    <w:rsid w:val="00B42D9C"/>
    <w:rsid w:val="00B42E8B"/>
    <w:rsid w:val="00B42ED9"/>
    <w:rsid w:val="00B43046"/>
    <w:rsid w:val="00B430BC"/>
    <w:rsid w:val="00B432BE"/>
    <w:rsid w:val="00B436C4"/>
    <w:rsid w:val="00B43E3A"/>
    <w:rsid w:val="00B43EF2"/>
    <w:rsid w:val="00B4411F"/>
    <w:rsid w:val="00B4430B"/>
    <w:rsid w:val="00B4444C"/>
    <w:rsid w:val="00B444F0"/>
    <w:rsid w:val="00B445D5"/>
    <w:rsid w:val="00B4461A"/>
    <w:rsid w:val="00B446B2"/>
    <w:rsid w:val="00B44B9F"/>
    <w:rsid w:val="00B44C0B"/>
    <w:rsid w:val="00B44D0F"/>
    <w:rsid w:val="00B44E39"/>
    <w:rsid w:val="00B44FF2"/>
    <w:rsid w:val="00B4509A"/>
    <w:rsid w:val="00B451C8"/>
    <w:rsid w:val="00B45370"/>
    <w:rsid w:val="00B45B95"/>
    <w:rsid w:val="00B45D1B"/>
    <w:rsid w:val="00B45ED0"/>
    <w:rsid w:val="00B46411"/>
    <w:rsid w:val="00B465D1"/>
    <w:rsid w:val="00B469A6"/>
    <w:rsid w:val="00B46FC9"/>
    <w:rsid w:val="00B471E4"/>
    <w:rsid w:val="00B4726C"/>
    <w:rsid w:val="00B47573"/>
    <w:rsid w:val="00B475F8"/>
    <w:rsid w:val="00B47695"/>
    <w:rsid w:val="00B47915"/>
    <w:rsid w:val="00B47CCC"/>
    <w:rsid w:val="00B47D00"/>
    <w:rsid w:val="00B47D42"/>
    <w:rsid w:val="00B47EF8"/>
    <w:rsid w:val="00B47F98"/>
    <w:rsid w:val="00B5001B"/>
    <w:rsid w:val="00B501C0"/>
    <w:rsid w:val="00B5044D"/>
    <w:rsid w:val="00B5096D"/>
    <w:rsid w:val="00B509A7"/>
    <w:rsid w:val="00B50A09"/>
    <w:rsid w:val="00B50AC4"/>
    <w:rsid w:val="00B50C1C"/>
    <w:rsid w:val="00B50E75"/>
    <w:rsid w:val="00B50EEB"/>
    <w:rsid w:val="00B510AB"/>
    <w:rsid w:val="00B511D7"/>
    <w:rsid w:val="00B5132D"/>
    <w:rsid w:val="00B5154E"/>
    <w:rsid w:val="00B51724"/>
    <w:rsid w:val="00B51834"/>
    <w:rsid w:val="00B51A2D"/>
    <w:rsid w:val="00B51C15"/>
    <w:rsid w:val="00B51CCA"/>
    <w:rsid w:val="00B51D86"/>
    <w:rsid w:val="00B51E00"/>
    <w:rsid w:val="00B51EAA"/>
    <w:rsid w:val="00B51F95"/>
    <w:rsid w:val="00B520B7"/>
    <w:rsid w:val="00B521E5"/>
    <w:rsid w:val="00B521F9"/>
    <w:rsid w:val="00B523BA"/>
    <w:rsid w:val="00B5243B"/>
    <w:rsid w:val="00B5258E"/>
    <w:rsid w:val="00B52676"/>
    <w:rsid w:val="00B5273A"/>
    <w:rsid w:val="00B527E6"/>
    <w:rsid w:val="00B529E5"/>
    <w:rsid w:val="00B52A45"/>
    <w:rsid w:val="00B52BA8"/>
    <w:rsid w:val="00B52C41"/>
    <w:rsid w:val="00B52C4C"/>
    <w:rsid w:val="00B52F93"/>
    <w:rsid w:val="00B53268"/>
    <w:rsid w:val="00B532F0"/>
    <w:rsid w:val="00B53333"/>
    <w:rsid w:val="00B53472"/>
    <w:rsid w:val="00B53586"/>
    <w:rsid w:val="00B53617"/>
    <w:rsid w:val="00B53651"/>
    <w:rsid w:val="00B53835"/>
    <w:rsid w:val="00B53865"/>
    <w:rsid w:val="00B53929"/>
    <w:rsid w:val="00B53B93"/>
    <w:rsid w:val="00B53BA3"/>
    <w:rsid w:val="00B53D67"/>
    <w:rsid w:val="00B54072"/>
    <w:rsid w:val="00B54240"/>
    <w:rsid w:val="00B54338"/>
    <w:rsid w:val="00B54361"/>
    <w:rsid w:val="00B544AA"/>
    <w:rsid w:val="00B54578"/>
    <w:rsid w:val="00B545DE"/>
    <w:rsid w:val="00B5485A"/>
    <w:rsid w:val="00B5493A"/>
    <w:rsid w:val="00B54A1B"/>
    <w:rsid w:val="00B54B3E"/>
    <w:rsid w:val="00B54D6C"/>
    <w:rsid w:val="00B54E48"/>
    <w:rsid w:val="00B54EB4"/>
    <w:rsid w:val="00B550A7"/>
    <w:rsid w:val="00B5518B"/>
    <w:rsid w:val="00B551EC"/>
    <w:rsid w:val="00B553D8"/>
    <w:rsid w:val="00B5564E"/>
    <w:rsid w:val="00B5567D"/>
    <w:rsid w:val="00B556C9"/>
    <w:rsid w:val="00B55797"/>
    <w:rsid w:val="00B558BF"/>
    <w:rsid w:val="00B55911"/>
    <w:rsid w:val="00B559D1"/>
    <w:rsid w:val="00B55B70"/>
    <w:rsid w:val="00B55D5B"/>
    <w:rsid w:val="00B55E0D"/>
    <w:rsid w:val="00B561BD"/>
    <w:rsid w:val="00B566E0"/>
    <w:rsid w:val="00B5679B"/>
    <w:rsid w:val="00B56806"/>
    <w:rsid w:val="00B5697C"/>
    <w:rsid w:val="00B5698B"/>
    <w:rsid w:val="00B56CA9"/>
    <w:rsid w:val="00B56CED"/>
    <w:rsid w:val="00B56E23"/>
    <w:rsid w:val="00B56EBC"/>
    <w:rsid w:val="00B5712B"/>
    <w:rsid w:val="00B5721B"/>
    <w:rsid w:val="00B5723A"/>
    <w:rsid w:val="00B577D5"/>
    <w:rsid w:val="00B57848"/>
    <w:rsid w:val="00B57934"/>
    <w:rsid w:val="00B57988"/>
    <w:rsid w:val="00B57BC8"/>
    <w:rsid w:val="00B57F09"/>
    <w:rsid w:val="00B600BB"/>
    <w:rsid w:val="00B600E0"/>
    <w:rsid w:val="00B60562"/>
    <w:rsid w:val="00B60765"/>
    <w:rsid w:val="00B6095B"/>
    <w:rsid w:val="00B609B0"/>
    <w:rsid w:val="00B60ABB"/>
    <w:rsid w:val="00B60E11"/>
    <w:rsid w:val="00B61089"/>
    <w:rsid w:val="00B6113E"/>
    <w:rsid w:val="00B61234"/>
    <w:rsid w:val="00B612EA"/>
    <w:rsid w:val="00B61391"/>
    <w:rsid w:val="00B61409"/>
    <w:rsid w:val="00B6142D"/>
    <w:rsid w:val="00B61507"/>
    <w:rsid w:val="00B61BC8"/>
    <w:rsid w:val="00B61D8E"/>
    <w:rsid w:val="00B61E71"/>
    <w:rsid w:val="00B61F26"/>
    <w:rsid w:val="00B61FEE"/>
    <w:rsid w:val="00B62099"/>
    <w:rsid w:val="00B6239A"/>
    <w:rsid w:val="00B626E0"/>
    <w:rsid w:val="00B6287B"/>
    <w:rsid w:val="00B628E1"/>
    <w:rsid w:val="00B62A37"/>
    <w:rsid w:val="00B62A61"/>
    <w:rsid w:val="00B63022"/>
    <w:rsid w:val="00B6324A"/>
    <w:rsid w:val="00B63321"/>
    <w:rsid w:val="00B63645"/>
    <w:rsid w:val="00B636A7"/>
    <w:rsid w:val="00B63894"/>
    <w:rsid w:val="00B6389F"/>
    <w:rsid w:val="00B639B8"/>
    <w:rsid w:val="00B63B57"/>
    <w:rsid w:val="00B63C0A"/>
    <w:rsid w:val="00B63C3D"/>
    <w:rsid w:val="00B6414F"/>
    <w:rsid w:val="00B64290"/>
    <w:rsid w:val="00B6444E"/>
    <w:rsid w:val="00B6448F"/>
    <w:rsid w:val="00B64698"/>
    <w:rsid w:val="00B648B2"/>
    <w:rsid w:val="00B64B80"/>
    <w:rsid w:val="00B64D15"/>
    <w:rsid w:val="00B64ED4"/>
    <w:rsid w:val="00B65138"/>
    <w:rsid w:val="00B651AB"/>
    <w:rsid w:val="00B651B6"/>
    <w:rsid w:val="00B651B8"/>
    <w:rsid w:val="00B651DE"/>
    <w:rsid w:val="00B6538C"/>
    <w:rsid w:val="00B6539C"/>
    <w:rsid w:val="00B65483"/>
    <w:rsid w:val="00B654C6"/>
    <w:rsid w:val="00B6564A"/>
    <w:rsid w:val="00B6572A"/>
    <w:rsid w:val="00B65845"/>
    <w:rsid w:val="00B6598E"/>
    <w:rsid w:val="00B65B86"/>
    <w:rsid w:val="00B65B97"/>
    <w:rsid w:val="00B65F45"/>
    <w:rsid w:val="00B66015"/>
    <w:rsid w:val="00B6627C"/>
    <w:rsid w:val="00B66317"/>
    <w:rsid w:val="00B6640D"/>
    <w:rsid w:val="00B664B5"/>
    <w:rsid w:val="00B665ED"/>
    <w:rsid w:val="00B66834"/>
    <w:rsid w:val="00B6685E"/>
    <w:rsid w:val="00B668CC"/>
    <w:rsid w:val="00B66AE2"/>
    <w:rsid w:val="00B66B65"/>
    <w:rsid w:val="00B66BE0"/>
    <w:rsid w:val="00B66CA9"/>
    <w:rsid w:val="00B66E9C"/>
    <w:rsid w:val="00B67127"/>
    <w:rsid w:val="00B6712B"/>
    <w:rsid w:val="00B6717E"/>
    <w:rsid w:val="00B671DB"/>
    <w:rsid w:val="00B671EF"/>
    <w:rsid w:val="00B672D9"/>
    <w:rsid w:val="00B672DB"/>
    <w:rsid w:val="00B67328"/>
    <w:rsid w:val="00B67335"/>
    <w:rsid w:val="00B67449"/>
    <w:rsid w:val="00B675EE"/>
    <w:rsid w:val="00B67872"/>
    <w:rsid w:val="00B67ACE"/>
    <w:rsid w:val="00B67B6D"/>
    <w:rsid w:val="00B67C8B"/>
    <w:rsid w:val="00B67DA0"/>
    <w:rsid w:val="00B67E13"/>
    <w:rsid w:val="00B700A1"/>
    <w:rsid w:val="00B700DF"/>
    <w:rsid w:val="00B702D7"/>
    <w:rsid w:val="00B70384"/>
    <w:rsid w:val="00B7057C"/>
    <w:rsid w:val="00B705F1"/>
    <w:rsid w:val="00B70718"/>
    <w:rsid w:val="00B708A1"/>
    <w:rsid w:val="00B708B2"/>
    <w:rsid w:val="00B708B9"/>
    <w:rsid w:val="00B70AF1"/>
    <w:rsid w:val="00B70D15"/>
    <w:rsid w:val="00B70F24"/>
    <w:rsid w:val="00B711ED"/>
    <w:rsid w:val="00B7124D"/>
    <w:rsid w:val="00B71472"/>
    <w:rsid w:val="00B715CE"/>
    <w:rsid w:val="00B71B99"/>
    <w:rsid w:val="00B71DD7"/>
    <w:rsid w:val="00B71FD7"/>
    <w:rsid w:val="00B72397"/>
    <w:rsid w:val="00B72616"/>
    <w:rsid w:val="00B72952"/>
    <w:rsid w:val="00B72AAF"/>
    <w:rsid w:val="00B72CFF"/>
    <w:rsid w:val="00B72F11"/>
    <w:rsid w:val="00B72F15"/>
    <w:rsid w:val="00B72FB6"/>
    <w:rsid w:val="00B73492"/>
    <w:rsid w:val="00B73594"/>
    <w:rsid w:val="00B736D3"/>
    <w:rsid w:val="00B737E6"/>
    <w:rsid w:val="00B7381B"/>
    <w:rsid w:val="00B7390C"/>
    <w:rsid w:val="00B739F4"/>
    <w:rsid w:val="00B739F5"/>
    <w:rsid w:val="00B73B49"/>
    <w:rsid w:val="00B73BE0"/>
    <w:rsid w:val="00B73DAA"/>
    <w:rsid w:val="00B73FAD"/>
    <w:rsid w:val="00B73FC3"/>
    <w:rsid w:val="00B74120"/>
    <w:rsid w:val="00B74167"/>
    <w:rsid w:val="00B742BF"/>
    <w:rsid w:val="00B742D8"/>
    <w:rsid w:val="00B74393"/>
    <w:rsid w:val="00B744A5"/>
    <w:rsid w:val="00B745A0"/>
    <w:rsid w:val="00B74713"/>
    <w:rsid w:val="00B747BE"/>
    <w:rsid w:val="00B748A7"/>
    <w:rsid w:val="00B749DE"/>
    <w:rsid w:val="00B74AF0"/>
    <w:rsid w:val="00B74C18"/>
    <w:rsid w:val="00B74C86"/>
    <w:rsid w:val="00B74D05"/>
    <w:rsid w:val="00B74DF9"/>
    <w:rsid w:val="00B74E68"/>
    <w:rsid w:val="00B74F71"/>
    <w:rsid w:val="00B74F92"/>
    <w:rsid w:val="00B75177"/>
    <w:rsid w:val="00B75528"/>
    <w:rsid w:val="00B75913"/>
    <w:rsid w:val="00B7599C"/>
    <w:rsid w:val="00B75B79"/>
    <w:rsid w:val="00B75D95"/>
    <w:rsid w:val="00B75DE2"/>
    <w:rsid w:val="00B75E3A"/>
    <w:rsid w:val="00B75E56"/>
    <w:rsid w:val="00B7602D"/>
    <w:rsid w:val="00B760DD"/>
    <w:rsid w:val="00B760F6"/>
    <w:rsid w:val="00B7661D"/>
    <w:rsid w:val="00B7694A"/>
    <w:rsid w:val="00B76BB2"/>
    <w:rsid w:val="00B76D3A"/>
    <w:rsid w:val="00B76DFA"/>
    <w:rsid w:val="00B76EA3"/>
    <w:rsid w:val="00B76F63"/>
    <w:rsid w:val="00B7704A"/>
    <w:rsid w:val="00B7778A"/>
    <w:rsid w:val="00B779C5"/>
    <w:rsid w:val="00B77AAE"/>
    <w:rsid w:val="00B77B49"/>
    <w:rsid w:val="00B77E80"/>
    <w:rsid w:val="00B77EC8"/>
    <w:rsid w:val="00B77FFD"/>
    <w:rsid w:val="00B8014F"/>
    <w:rsid w:val="00B801E3"/>
    <w:rsid w:val="00B803ED"/>
    <w:rsid w:val="00B8046A"/>
    <w:rsid w:val="00B80496"/>
    <w:rsid w:val="00B8064C"/>
    <w:rsid w:val="00B80700"/>
    <w:rsid w:val="00B80903"/>
    <w:rsid w:val="00B80CE2"/>
    <w:rsid w:val="00B80DD3"/>
    <w:rsid w:val="00B8103A"/>
    <w:rsid w:val="00B81267"/>
    <w:rsid w:val="00B812DD"/>
    <w:rsid w:val="00B8156F"/>
    <w:rsid w:val="00B816D5"/>
    <w:rsid w:val="00B817DF"/>
    <w:rsid w:val="00B81810"/>
    <w:rsid w:val="00B81B23"/>
    <w:rsid w:val="00B81B32"/>
    <w:rsid w:val="00B825AC"/>
    <w:rsid w:val="00B82624"/>
    <w:rsid w:val="00B8266F"/>
    <w:rsid w:val="00B827D4"/>
    <w:rsid w:val="00B8307C"/>
    <w:rsid w:val="00B831DC"/>
    <w:rsid w:val="00B83484"/>
    <w:rsid w:val="00B83507"/>
    <w:rsid w:val="00B83645"/>
    <w:rsid w:val="00B8368D"/>
    <w:rsid w:val="00B83913"/>
    <w:rsid w:val="00B83AEA"/>
    <w:rsid w:val="00B83B44"/>
    <w:rsid w:val="00B83B4F"/>
    <w:rsid w:val="00B83D8A"/>
    <w:rsid w:val="00B84039"/>
    <w:rsid w:val="00B841D4"/>
    <w:rsid w:val="00B8434A"/>
    <w:rsid w:val="00B84448"/>
    <w:rsid w:val="00B84505"/>
    <w:rsid w:val="00B8456C"/>
    <w:rsid w:val="00B84710"/>
    <w:rsid w:val="00B84770"/>
    <w:rsid w:val="00B84890"/>
    <w:rsid w:val="00B84C6F"/>
    <w:rsid w:val="00B84C7B"/>
    <w:rsid w:val="00B84E02"/>
    <w:rsid w:val="00B8519D"/>
    <w:rsid w:val="00B85260"/>
    <w:rsid w:val="00B8547F"/>
    <w:rsid w:val="00B857CC"/>
    <w:rsid w:val="00B857F4"/>
    <w:rsid w:val="00B85890"/>
    <w:rsid w:val="00B85D92"/>
    <w:rsid w:val="00B8603E"/>
    <w:rsid w:val="00B861AD"/>
    <w:rsid w:val="00B861E5"/>
    <w:rsid w:val="00B86232"/>
    <w:rsid w:val="00B8633C"/>
    <w:rsid w:val="00B863FD"/>
    <w:rsid w:val="00B86540"/>
    <w:rsid w:val="00B866F8"/>
    <w:rsid w:val="00B86786"/>
    <w:rsid w:val="00B86C96"/>
    <w:rsid w:val="00B86E97"/>
    <w:rsid w:val="00B86F0E"/>
    <w:rsid w:val="00B8705D"/>
    <w:rsid w:val="00B8769A"/>
    <w:rsid w:val="00B8791C"/>
    <w:rsid w:val="00B87BCF"/>
    <w:rsid w:val="00B87D7A"/>
    <w:rsid w:val="00B902AA"/>
    <w:rsid w:val="00B9033E"/>
    <w:rsid w:val="00B90467"/>
    <w:rsid w:val="00B90594"/>
    <w:rsid w:val="00B90861"/>
    <w:rsid w:val="00B90985"/>
    <w:rsid w:val="00B90A80"/>
    <w:rsid w:val="00B90BBE"/>
    <w:rsid w:val="00B90C50"/>
    <w:rsid w:val="00B90CBE"/>
    <w:rsid w:val="00B90F5E"/>
    <w:rsid w:val="00B9100C"/>
    <w:rsid w:val="00B9155F"/>
    <w:rsid w:val="00B915D2"/>
    <w:rsid w:val="00B91848"/>
    <w:rsid w:val="00B91892"/>
    <w:rsid w:val="00B91895"/>
    <w:rsid w:val="00B919F1"/>
    <w:rsid w:val="00B91B5B"/>
    <w:rsid w:val="00B91C94"/>
    <w:rsid w:val="00B91E44"/>
    <w:rsid w:val="00B91ED5"/>
    <w:rsid w:val="00B91F05"/>
    <w:rsid w:val="00B92139"/>
    <w:rsid w:val="00B92254"/>
    <w:rsid w:val="00B92449"/>
    <w:rsid w:val="00B925D9"/>
    <w:rsid w:val="00B92606"/>
    <w:rsid w:val="00B9294B"/>
    <w:rsid w:val="00B92B26"/>
    <w:rsid w:val="00B92B74"/>
    <w:rsid w:val="00B92E23"/>
    <w:rsid w:val="00B92E5B"/>
    <w:rsid w:val="00B92E95"/>
    <w:rsid w:val="00B931BD"/>
    <w:rsid w:val="00B93241"/>
    <w:rsid w:val="00B932EB"/>
    <w:rsid w:val="00B9330C"/>
    <w:rsid w:val="00B93394"/>
    <w:rsid w:val="00B933FF"/>
    <w:rsid w:val="00B9356C"/>
    <w:rsid w:val="00B936A3"/>
    <w:rsid w:val="00B93B57"/>
    <w:rsid w:val="00B93C00"/>
    <w:rsid w:val="00B93EBE"/>
    <w:rsid w:val="00B93F16"/>
    <w:rsid w:val="00B93F34"/>
    <w:rsid w:val="00B940AF"/>
    <w:rsid w:val="00B94108"/>
    <w:rsid w:val="00B946CC"/>
    <w:rsid w:val="00B9472A"/>
    <w:rsid w:val="00B947B1"/>
    <w:rsid w:val="00B949D5"/>
    <w:rsid w:val="00B94A39"/>
    <w:rsid w:val="00B94A4F"/>
    <w:rsid w:val="00B94FCA"/>
    <w:rsid w:val="00B9502B"/>
    <w:rsid w:val="00B95116"/>
    <w:rsid w:val="00B951BA"/>
    <w:rsid w:val="00B951D3"/>
    <w:rsid w:val="00B952E4"/>
    <w:rsid w:val="00B95439"/>
    <w:rsid w:val="00B9577E"/>
    <w:rsid w:val="00B95808"/>
    <w:rsid w:val="00B9598C"/>
    <w:rsid w:val="00B95AEC"/>
    <w:rsid w:val="00B95D17"/>
    <w:rsid w:val="00B960D0"/>
    <w:rsid w:val="00B96245"/>
    <w:rsid w:val="00B963ED"/>
    <w:rsid w:val="00B965AE"/>
    <w:rsid w:val="00B96640"/>
    <w:rsid w:val="00B97152"/>
    <w:rsid w:val="00B971A5"/>
    <w:rsid w:val="00B972E0"/>
    <w:rsid w:val="00B976B6"/>
    <w:rsid w:val="00B976C7"/>
    <w:rsid w:val="00B97741"/>
    <w:rsid w:val="00B9778F"/>
    <w:rsid w:val="00B97987"/>
    <w:rsid w:val="00B97BDC"/>
    <w:rsid w:val="00B97C44"/>
    <w:rsid w:val="00B97E04"/>
    <w:rsid w:val="00B97F68"/>
    <w:rsid w:val="00B97FF1"/>
    <w:rsid w:val="00BA00BE"/>
    <w:rsid w:val="00BA00C1"/>
    <w:rsid w:val="00BA02A8"/>
    <w:rsid w:val="00BA02AA"/>
    <w:rsid w:val="00BA034D"/>
    <w:rsid w:val="00BA04EF"/>
    <w:rsid w:val="00BA0936"/>
    <w:rsid w:val="00BA0D17"/>
    <w:rsid w:val="00BA0D4F"/>
    <w:rsid w:val="00BA0DF2"/>
    <w:rsid w:val="00BA0E1C"/>
    <w:rsid w:val="00BA0E70"/>
    <w:rsid w:val="00BA0FE2"/>
    <w:rsid w:val="00BA1097"/>
    <w:rsid w:val="00BA11C8"/>
    <w:rsid w:val="00BA139C"/>
    <w:rsid w:val="00BA146D"/>
    <w:rsid w:val="00BA1674"/>
    <w:rsid w:val="00BA16A4"/>
    <w:rsid w:val="00BA18F7"/>
    <w:rsid w:val="00BA199B"/>
    <w:rsid w:val="00BA1EF8"/>
    <w:rsid w:val="00BA2034"/>
    <w:rsid w:val="00BA20BB"/>
    <w:rsid w:val="00BA21C3"/>
    <w:rsid w:val="00BA2279"/>
    <w:rsid w:val="00BA22A3"/>
    <w:rsid w:val="00BA2484"/>
    <w:rsid w:val="00BA24E1"/>
    <w:rsid w:val="00BA2503"/>
    <w:rsid w:val="00BA2823"/>
    <w:rsid w:val="00BA2869"/>
    <w:rsid w:val="00BA29B5"/>
    <w:rsid w:val="00BA2DFA"/>
    <w:rsid w:val="00BA30B0"/>
    <w:rsid w:val="00BA3571"/>
    <w:rsid w:val="00BA358E"/>
    <w:rsid w:val="00BA36C8"/>
    <w:rsid w:val="00BA3903"/>
    <w:rsid w:val="00BA39D2"/>
    <w:rsid w:val="00BA3A5D"/>
    <w:rsid w:val="00BA40BB"/>
    <w:rsid w:val="00BA426D"/>
    <w:rsid w:val="00BA4815"/>
    <w:rsid w:val="00BA4C2F"/>
    <w:rsid w:val="00BA4E1B"/>
    <w:rsid w:val="00BA4E5D"/>
    <w:rsid w:val="00BA5003"/>
    <w:rsid w:val="00BA50A8"/>
    <w:rsid w:val="00BA5189"/>
    <w:rsid w:val="00BA52EB"/>
    <w:rsid w:val="00BA54FA"/>
    <w:rsid w:val="00BA55A1"/>
    <w:rsid w:val="00BA55AB"/>
    <w:rsid w:val="00BA5827"/>
    <w:rsid w:val="00BA5837"/>
    <w:rsid w:val="00BA59A6"/>
    <w:rsid w:val="00BA5ABB"/>
    <w:rsid w:val="00BA60B2"/>
    <w:rsid w:val="00BA61EB"/>
    <w:rsid w:val="00BA645D"/>
    <w:rsid w:val="00BA64E2"/>
    <w:rsid w:val="00BA6606"/>
    <w:rsid w:val="00BA67BC"/>
    <w:rsid w:val="00BA68B2"/>
    <w:rsid w:val="00BA68DB"/>
    <w:rsid w:val="00BA6955"/>
    <w:rsid w:val="00BA69C2"/>
    <w:rsid w:val="00BA6B27"/>
    <w:rsid w:val="00BA6BC8"/>
    <w:rsid w:val="00BA6D6F"/>
    <w:rsid w:val="00BA6DB4"/>
    <w:rsid w:val="00BA708E"/>
    <w:rsid w:val="00BA7259"/>
    <w:rsid w:val="00BA7281"/>
    <w:rsid w:val="00BA732A"/>
    <w:rsid w:val="00BA74B7"/>
    <w:rsid w:val="00BA767D"/>
    <w:rsid w:val="00BA782A"/>
    <w:rsid w:val="00BA78A4"/>
    <w:rsid w:val="00BA79AD"/>
    <w:rsid w:val="00BA7A20"/>
    <w:rsid w:val="00BA7B55"/>
    <w:rsid w:val="00BA7B95"/>
    <w:rsid w:val="00BA7D27"/>
    <w:rsid w:val="00BB0008"/>
    <w:rsid w:val="00BB008D"/>
    <w:rsid w:val="00BB00B4"/>
    <w:rsid w:val="00BB00D8"/>
    <w:rsid w:val="00BB0107"/>
    <w:rsid w:val="00BB028D"/>
    <w:rsid w:val="00BB043A"/>
    <w:rsid w:val="00BB0630"/>
    <w:rsid w:val="00BB06A3"/>
    <w:rsid w:val="00BB0980"/>
    <w:rsid w:val="00BB0B0A"/>
    <w:rsid w:val="00BB0DAC"/>
    <w:rsid w:val="00BB0E76"/>
    <w:rsid w:val="00BB0EE3"/>
    <w:rsid w:val="00BB0F59"/>
    <w:rsid w:val="00BB1114"/>
    <w:rsid w:val="00BB119E"/>
    <w:rsid w:val="00BB11AB"/>
    <w:rsid w:val="00BB120A"/>
    <w:rsid w:val="00BB142E"/>
    <w:rsid w:val="00BB14D2"/>
    <w:rsid w:val="00BB1645"/>
    <w:rsid w:val="00BB16F4"/>
    <w:rsid w:val="00BB174B"/>
    <w:rsid w:val="00BB1C84"/>
    <w:rsid w:val="00BB1ECC"/>
    <w:rsid w:val="00BB21D3"/>
    <w:rsid w:val="00BB2445"/>
    <w:rsid w:val="00BB246E"/>
    <w:rsid w:val="00BB248C"/>
    <w:rsid w:val="00BB2573"/>
    <w:rsid w:val="00BB28BF"/>
    <w:rsid w:val="00BB2935"/>
    <w:rsid w:val="00BB2993"/>
    <w:rsid w:val="00BB2A42"/>
    <w:rsid w:val="00BB2AC0"/>
    <w:rsid w:val="00BB2C0A"/>
    <w:rsid w:val="00BB2D8F"/>
    <w:rsid w:val="00BB2EE1"/>
    <w:rsid w:val="00BB3184"/>
    <w:rsid w:val="00BB3296"/>
    <w:rsid w:val="00BB3552"/>
    <w:rsid w:val="00BB3927"/>
    <w:rsid w:val="00BB3AA8"/>
    <w:rsid w:val="00BB3EF7"/>
    <w:rsid w:val="00BB4182"/>
    <w:rsid w:val="00BB4271"/>
    <w:rsid w:val="00BB43A6"/>
    <w:rsid w:val="00BB43D0"/>
    <w:rsid w:val="00BB45D9"/>
    <w:rsid w:val="00BB46D9"/>
    <w:rsid w:val="00BB4754"/>
    <w:rsid w:val="00BB4764"/>
    <w:rsid w:val="00BB4867"/>
    <w:rsid w:val="00BB495A"/>
    <w:rsid w:val="00BB4A00"/>
    <w:rsid w:val="00BB4D03"/>
    <w:rsid w:val="00BB4DA8"/>
    <w:rsid w:val="00BB4ECE"/>
    <w:rsid w:val="00BB553A"/>
    <w:rsid w:val="00BB56A2"/>
    <w:rsid w:val="00BB5A08"/>
    <w:rsid w:val="00BB5A9B"/>
    <w:rsid w:val="00BB5B3E"/>
    <w:rsid w:val="00BB5CF0"/>
    <w:rsid w:val="00BB636D"/>
    <w:rsid w:val="00BB6408"/>
    <w:rsid w:val="00BB65A0"/>
    <w:rsid w:val="00BB677F"/>
    <w:rsid w:val="00BB6830"/>
    <w:rsid w:val="00BB686F"/>
    <w:rsid w:val="00BB689A"/>
    <w:rsid w:val="00BB68CA"/>
    <w:rsid w:val="00BB6932"/>
    <w:rsid w:val="00BB6BFC"/>
    <w:rsid w:val="00BB7363"/>
    <w:rsid w:val="00BB7552"/>
    <w:rsid w:val="00BB7A0D"/>
    <w:rsid w:val="00BB7ACF"/>
    <w:rsid w:val="00BC0503"/>
    <w:rsid w:val="00BC06B6"/>
    <w:rsid w:val="00BC0784"/>
    <w:rsid w:val="00BC07BD"/>
    <w:rsid w:val="00BC082B"/>
    <w:rsid w:val="00BC0844"/>
    <w:rsid w:val="00BC098F"/>
    <w:rsid w:val="00BC0AC8"/>
    <w:rsid w:val="00BC0DC0"/>
    <w:rsid w:val="00BC0E3B"/>
    <w:rsid w:val="00BC0ECA"/>
    <w:rsid w:val="00BC0F99"/>
    <w:rsid w:val="00BC189F"/>
    <w:rsid w:val="00BC1999"/>
    <w:rsid w:val="00BC1AA4"/>
    <w:rsid w:val="00BC1C53"/>
    <w:rsid w:val="00BC1F03"/>
    <w:rsid w:val="00BC22E5"/>
    <w:rsid w:val="00BC23B6"/>
    <w:rsid w:val="00BC249C"/>
    <w:rsid w:val="00BC25B6"/>
    <w:rsid w:val="00BC261A"/>
    <w:rsid w:val="00BC2635"/>
    <w:rsid w:val="00BC26F3"/>
    <w:rsid w:val="00BC277D"/>
    <w:rsid w:val="00BC2846"/>
    <w:rsid w:val="00BC2913"/>
    <w:rsid w:val="00BC2B50"/>
    <w:rsid w:val="00BC3013"/>
    <w:rsid w:val="00BC30F7"/>
    <w:rsid w:val="00BC32F5"/>
    <w:rsid w:val="00BC3303"/>
    <w:rsid w:val="00BC34E8"/>
    <w:rsid w:val="00BC3625"/>
    <w:rsid w:val="00BC3667"/>
    <w:rsid w:val="00BC3B91"/>
    <w:rsid w:val="00BC3B93"/>
    <w:rsid w:val="00BC443C"/>
    <w:rsid w:val="00BC4468"/>
    <w:rsid w:val="00BC453B"/>
    <w:rsid w:val="00BC4698"/>
    <w:rsid w:val="00BC4761"/>
    <w:rsid w:val="00BC4836"/>
    <w:rsid w:val="00BC4842"/>
    <w:rsid w:val="00BC4924"/>
    <w:rsid w:val="00BC4ABF"/>
    <w:rsid w:val="00BC4C12"/>
    <w:rsid w:val="00BC4F5A"/>
    <w:rsid w:val="00BC5004"/>
    <w:rsid w:val="00BC56D6"/>
    <w:rsid w:val="00BC5C50"/>
    <w:rsid w:val="00BC5C74"/>
    <w:rsid w:val="00BC5D9B"/>
    <w:rsid w:val="00BC62AA"/>
    <w:rsid w:val="00BC6410"/>
    <w:rsid w:val="00BC6442"/>
    <w:rsid w:val="00BC6621"/>
    <w:rsid w:val="00BC665B"/>
    <w:rsid w:val="00BC676E"/>
    <w:rsid w:val="00BC68A5"/>
    <w:rsid w:val="00BC6925"/>
    <w:rsid w:val="00BC6A87"/>
    <w:rsid w:val="00BC6AE6"/>
    <w:rsid w:val="00BC6B38"/>
    <w:rsid w:val="00BC6E4B"/>
    <w:rsid w:val="00BC6FE8"/>
    <w:rsid w:val="00BC71FD"/>
    <w:rsid w:val="00BC728C"/>
    <w:rsid w:val="00BC736A"/>
    <w:rsid w:val="00BC75EA"/>
    <w:rsid w:val="00BC7683"/>
    <w:rsid w:val="00BC7CCD"/>
    <w:rsid w:val="00BC7CF4"/>
    <w:rsid w:val="00BC7DEB"/>
    <w:rsid w:val="00BC7E3A"/>
    <w:rsid w:val="00BC7EF2"/>
    <w:rsid w:val="00BD03B9"/>
    <w:rsid w:val="00BD040F"/>
    <w:rsid w:val="00BD0453"/>
    <w:rsid w:val="00BD0473"/>
    <w:rsid w:val="00BD0506"/>
    <w:rsid w:val="00BD0787"/>
    <w:rsid w:val="00BD0B71"/>
    <w:rsid w:val="00BD0BA4"/>
    <w:rsid w:val="00BD0C6F"/>
    <w:rsid w:val="00BD127E"/>
    <w:rsid w:val="00BD12E1"/>
    <w:rsid w:val="00BD135F"/>
    <w:rsid w:val="00BD15F8"/>
    <w:rsid w:val="00BD16B2"/>
    <w:rsid w:val="00BD16F2"/>
    <w:rsid w:val="00BD16F3"/>
    <w:rsid w:val="00BD1766"/>
    <w:rsid w:val="00BD189D"/>
    <w:rsid w:val="00BD1AFC"/>
    <w:rsid w:val="00BD1B02"/>
    <w:rsid w:val="00BD1B2D"/>
    <w:rsid w:val="00BD1C35"/>
    <w:rsid w:val="00BD1DA1"/>
    <w:rsid w:val="00BD20FD"/>
    <w:rsid w:val="00BD22B9"/>
    <w:rsid w:val="00BD22E7"/>
    <w:rsid w:val="00BD2677"/>
    <w:rsid w:val="00BD28CD"/>
    <w:rsid w:val="00BD2A83"/>
    <w:rsid w:val="00BD2B8F"/>
    <w:rsid w:val="00BD2C11"/>
    <w:rsid w:val="00BD2C2E"/>
    <w:rsid w:val="00BD2D72"/>
    <w:rsid w:val="00BD319C"/>
    <w:rsid w:val="00BD3294"/>
    <w:rsid w:val="00BD3394"/>
    <w:rsid w:val="00BD3441"/>
    <w:rsid w:val="00BD3527"/>
    <w:rsid w:val="00BD355C"/>
    <w:rsid w:val="00BD3663"/>
    <w:rsid w:val="00BD3694"/>
    <w:rsid w:val="00BD379C"/>
    <w:rsid w:val="00BD382C"/>
    <w:rsid w:val="00BD394E"/>
    <w:rsid w:val="00BD3C1B"/>
    <w:rsid w:val="00BD3D26"/>
    <w:rsid w:val="00BD3FB2"/>
    <w:rsid w:val="00BD4079"/>
    <w:rsid w:val="00BD40DC"/>
    <w:rsid w:val="00BD411A"/>
    <w:rsid w:val="00BD4535"/>
    <w:rsid w:val="00BD457A"/>
    <w:rsid w:val="00BD48FE"/>
    <w:rsid w:val="00BD4D42"/>
    <w:rsid w:val="00BD4E55"/>
    <w:rsid w:val="00BD5031"/>
    <w:rsid w:val="00BD505F"/>
    <w:rsid w:val="00BD51BC"/>
    <w:rsid w:val="00BD51DB"/>
    <w:rsid w:val="00BD5267"/>
    <w:rsid w:val="00BD537C"/>
    <w:rsid w:val="00BD54B8"/>
    <w:rsid w:val="00BD5520"/>
    <w:rsid w:val="00BD5603"/>
    <w:rsid w:val="00BD56C5"/>
    <w:rsid w:val="00BD5708"/>
    <w:rsid w:val="00BD5778"/>
    <w:rsid w:val="00BD58A5"/>
    <w:rsid w:val="00BD5B5D"/>
    <w:rsid w:val="00BD5CCA"/>
    <w:rsid w:val="00BD5ED4"/>
    <w:rsid w:val="00BD5F7D"/>
    <w:rsid w:val="00BD6106"/>
    <w:rsid w:val="00BD62D3"/>
    <w:rsid w:val="00BD6562"/>
    <w:rsid w:val="00BD656B"/>
    <w:rsid w:val="00BD662B"/>
    <w:rsid w:val="00BD68CD"/>
    <w:rsid w:val="00BD69AD"/>
    <w:rsid w:val="00BD6ACA"/>
    <w:rsid w:val="00BD6B51"/>
    <w:rsid w:val="00BD6BD7"/>
    <w:rsid w:val="00BD6EC9"/>
    <w:rsid w:val="00BD7503"/>
    <w:rsid w:val="00BD75B8"/>
    <w:rsid w:val="00BD75F4"/>
    <w:rsid w:val="00BD76DB"/>
    <w:rsid w:val="00BD7727"/>
    <w:rsid w:val="00BD7970"/>
    <w:rsid w:val="00BD7CDB"/>
    <w:rsid w:val="00BD7D73"/>
    <w:rsid w:val="00BD7DA7"/>
    <w:rsid w:val="00BD7F92"/>
    <w:rsid w:val="00BD7FBD"/>
    <w:rsid w:val="00BE0048"/>
    <w:rsid w:val="00BE005C"/>
    <w:rsid w:val="00BE0369"/>
    <w:rsid w:val="00BE0469"/>
    <w:rsid w:val="00BE04C9"/>
    <w:rsid w:val="00BE06D6"/>
    <w:rsid w:val="00BE09B1"/>
    <w:rsid w:val="00BE0B00"/>
    <w:rsid w:val="00BE0FB4"/>
    <w:rsid w:val="00BE1141"/>
    <w:rsid w:val="00BE11F7"/>
    <w:rsid w:val="00BE131E"/>
    <w:rsid w:val="00BE136B"/>
    <w:rsid w:val="00BE14F6"/>
    <w:rsid w:val="00BE1535"/>
    <w:rsid w:val="00BE1797"/>
    <w:rsid w:val="00BE1806"/>
    <w:rsid w:val="00BE1919"/>
    <w:rsid w:val="00BE19BC"/>
    <w:rsid w:val="00BE19D8"/>
    <w:rsid w:val="00BE1A31"/>
    <w:rsid w:val="00BE1A74"/>
    <w:rsid w:val="00BE1D15"/>
    <w:rsid w:val="00BE2028"/>
    <w:rsid w:val="00BE237F"/>
    <w:rsid w:val="00BE2392"/>
    <w:rsid w:val="00BE2462"/>
    <w:rsid w:val="00BE2494"/>
    <w:rsid w:val="00BE2507"/>
    <w:rsid w:val="00BE293A"/>
    <w:rsid w:val="00BE2A71"/>
    <w:rsid w:val="00BE3119"/>
    <w:rsid w:val="00BE34BE"/>
    <w:rsid w:val="00BE34D3"/>
    <w:rsid w:val="00BE3699"/>
    <w:rsid w:val="00BE36AA"/>
    <w:rsid w:val="00BE3929"/>
    <w:rsid w:val="00BE3C7E"/>
    <w:rsid w:val="00BE4252"/>
    <w:rsid w:val="00BE4616"/>
    <w:rsid w:val="00BE4BF0"/>
    <w:rsid w:val="00BE4EF1"/>
    <w:rsid w:val="00BE4FAD"/>
    <w:rsid w:val="00BE51CE"/>
    <w:rsid w:val="00BE5226"/>
    <w:rsid w:val="00BE5365"/>
    <w:rsid w:val="00BE5367"/>
    <w:rsid w:val="00BE555F"/>
    <w:rsid w:val="00BE566A"/>
    <w:rsid w:val="00BE575C"/>
    <w:rsid w:val="00BE5A9F"/>
    <w:rsid w:val="00BE5C9A"/>
    <w:rsid w:val="00BE5D78"/>
    <w:rsid w:val="00BE6046"/>
    <w:rsid w:val="00BE6247"/>
    <w:rsid w:val="00BE636D"/>
    <w:rsid w:val="00BE644C"/>
    <w:rsid w:val="00BE6489"/>
    <w:rsid w:val="00BE6898"/>
    <w:rsid w:val="00BE68EB"/>
    <w:rsid w:val="00BE6911"/>
    <w:rsid w:val="00BE6932"/>
    <w:rsid w:val="00BE6A2E"/>
    <w:rsid w:val="00BE6BCA"/>
    <w:rsid w:val="00BE6FC1"/>
    <w:rsid w:val="00BE71A6"/>
    <w:rsid w:val="00BE7201"/>
    <w:rsid w:val="00BE72C9"/>
    <w:rsid w:val="00BE78C6"/>
    <w:rsid w:val="00BE79C2"/>
    <w:rsid w:val="00BE7B02"/>
    <w:rsid w:val="00BE7CA9"/>
    <w:rsid w:val="00BE7E17"/>
    <w:rsid w:val="00BE7EAE"/>
    <w:rsid w:val="00BF0147"/>
    <w:rsid w:val="00BF0402"/>
    <w:rsid w:val="00BF0849"/>
    <w:rsid w:val="00BF0852"/>
    <w:rsid w:val="00BF0884"/>
    <w:rsid w:val="00BF09AF"/>
    <w:rsid w:val="00BF0D98"/>
    <w:rsid w:val="00BF0DF0"/>
    <w:rsid w:val="00BF0E1F"/>
    <w:rsid w:val="00BF1087"/>
    <w:rsid w:val="00BF10BA"/>
    <w:rsid w:val="00BF10D1"/>
    <w:rsid w:val="00BF10D9"/>
    <w:rsid w:val="00BF10E6"/>
    <w:rsid w:val="00BF12BC"/>
    <w:rsid w:val="00BF1344"/>
    <w:rsid w:val="00BF1661"/>
    <w:rsid w:val="00BF167C"/>
    <w:rsid w:val="00BF1840"/>
    <w:rsid w:val="00BF1A17"/>
    <w:rsid w:val="00BF1ABE"/>
    <w:rsid w:val="00BF1B2C"/>
    <w:rsid w:val="00BF1D42"/>
    <w:rsid w:val="00BF1E3C"/>
    <w:rsid w:val="00BF1F42"/>
    <w:rsid w:val="00BF214E"/>
    <w:rsid w:val="00BF22C4"/>
    <w:rsid w:val="00BF2320"/>
    <w:rsid w:val="00BF2321"/>
    <w:rsid w:val="00BF2497"/>
    <w:rsid w:val="00BF258D"/>
    <w:rsid w:val="00BF27AB"/>
    <w:rsid w:val="00BF27B9"/>
    <w:rsid w:val="00BF2830"/>
    <w:rsid w:val="00BF285C"/>
    <w:rsid w:val="00BF2B04"/>
    <w:rsid w:val="00BF2C71"/>
    <w:rsid w:val="00BF2D10"/>
    <w:rsid w:val="00BF2D70"/>
    <w:rsid w:val="00BF2F39"/>
    <w:rsid w:val="00BF2FD0"/>
    <w:rsid w:val="00BF313E"/>
    <w:rsid w:val="00BF3259"/>
    <w:rsid w:val="00BF358E"/>
    <w:rsid w:val="00BF39C9"/>
    <w:rsid w:val="00BF3A1D"/>
    <w:rsid w:val="00BF3CA3"/>
    <w:rsid w:val="00BF3D2A"/>
    <w:rsid w:val="00BF3E1B"/>
    <w:rsid w:val="00BF4021"/>
    <w:rsid w:val="00BF4270"/>
    <w:rsid w:val="00BF43CA"/>
    <w:rsid w:val="00BF43FD"/>
    <w:rsid w:val="00BF4575"/>
    <w:rsid w:val="00BF45C5"/>
    <w:rsid w:val="00BF4A9A"/>
    <w:rsid w:val="00BF4BB6"/>
    <w:rsid w:val="00BF4CFF"/>
    <w:rsid w:val="00BF4D94"/>
    <w:rsid w:val="00BF4E32"/>
    <w:rsid w:val="00BF4F47"/>
    <w:rsid w:val="00BF4F7B"/>
    <w:rsid w:val="00BF50EF"/>
    <w:rsid w:val="00BF51FC"/>
    <w:rsid w:val="00BF523E"/>
    <w:rsid w:val="00BF526F"/>
    <w:rsid w:val="00BF531C"/>
    <w:rsid w:val="00BF5378"/>
    <w:rsid w:val="00BF5718"/>
    <w:rsid w:val="00BF5911"/>
    <w:rsid w:val="00BF593B"/>
    <w:rsid w:val="00BF59D1"/>
    <w:rsid w:val="00BF5ACC"/>
    <w:rsid w:val="00BF5BBC"/>
    <w:rsid w:val="00BF5BCC"/>
    <w:rsid w:val="00BF5E45"/>
    <w:rsid w:val="00BF5E5A"/>
    <w:rsid w:val="00BF6291"/>
    <w:rsid w:val="00BF62C5"/>
    <w:rsid w:val="00BF67D4"/>
    <w:rsid w:val="00BF6935"/>
    <w:rsid w:val="00BF6C2A"/>
    <w:rsid w:val="00BF6E3A"/>
    <w:rsid w:val="00BF6FAA"/>
    <w:rsid w:val="00BF701F"/>
    <w:rsid w:val="00BF734F"/>
    <w:rsid w:val="00BF73F7"/>
    <w:rsid w:val="00BF747F"/>
    <w:rsid w:val="00BF748F"/>
    <w:rsid w:val="00BF7502"/>
    <w:rsid w:val="00BF766B"/>
    <w:rsid w:val="00BF76E7"/>
    <w:rsid w:val="00BF7747"/>
    <w:rsid w:val="00BF787A"/>
    <w:rsid w:val="00BF7A4A"/>
    <w:rsid w:val="00BF7BF1"/>
    <w:rsid w:val="00BF7E1F"/>
    <w:rsid w:val="00C0014D"/>
    <w:rsid w:val="00C001AF"/>
    <w:rsid w:val="00C0028E"/>
    <w:rsid w:val="00C0045B"/>
    <w:rsid w:val="00C007AA"/>
    <w:rsid w:val="00C008B8"/>
    <w:rsid w:val="00C00B5F"/>
    <w:rsid w:val="00C00C48"/>
    <w:rsid w:val="00C00D59"/>
    <w:rsid w:val="00C012C0"/>
    <w:rsid w:val="00C013B7"/>
    <w:rsid w:val="00C013DA"/>
    <w:rsid w:val="00C014B2"/>
    <w:rsid w:val="00C0156C"/>
    <w:rsid w:val="00C01677"/>
    <w:rsid w:val="00C01831"/>
    <w:rsid w:val="00C01884"/>
    <w:rsid w:val="00C019E6"/>
    <w:rsid w:val="00C01B04"/>
    <w:rsid w:val="00C01BCB"/>
    <w:rsid w:val="00C01E34"/>
    <w:rsid w:val="00C01EF5"/>
    <w:rsid w:val="00C01F3F"/>
    <w:rsid w:val="00C01FC6"/>
    <w:rsid w:val="00C02012"/>
    <w:rsid w:val="00C02111"/>
    <w:rsid w:val="00C02119"/>
    <w:rsid w:val="00C02309"/>
    <w:rsid w:val="00C02320"/>
    <w:rsid w:val="00C02368"/>
    <w:rsid w:val="00C024EA"/>
    <w:rsid w:val="00C02510"/>
    <w:rsid w:val="00C0267F"/>
    <w:rsid w:val="00C02712"/>
    <w:rsid w:val="00C02A39"/>
    <w:rsid w:val="00C02C6B"/>
    <w:rsid w:val="00C02C82"/>
    <w:rsid w:val="00C02D56"/>
    <w:rsid w:val="00C0301B"/>
    <w:rsid w:val="00C030BA"/>
    <w:rsid w:val="00C03104"/>
    <w:rsid w:val="00C0319B"/>
    <w:rsid w:val="00C0320B"/>
    <w:rsid w:val="00C0339A"/>
    <w:rsid w:val="00C034B1"/>
    <w:rsid w:val="00C03662"/>
    <w:rsid w:val="00C036EA"/>
    <w:rsid w:val="00C037A3"/>
    <w:rsid w:val="00C037DA"/>
    <w:rsid w:val="00C03A3D"/>
    <w:rsid w:val="00C03A81"/>
    <w:rsid w:val="00C03B8A"/>
    <w:rsid w:val="00C03BF6"/>
    <w:rsid w:val="00C03CC6"/>
    <w:rsid w:val="00C03E0B"/>
    <w:rsid w:val="00C03E12"/>
    <w:rsid w:val="00C040DA"/>
    <w:rsid w:val="00C041DE"/>
    <w:rsid w:val="00C04260"/>
    <w:rsid w:val="00C0460F"/>
    <w:rsid w:val="00C0463A"/>
    <w:rsid w:val="00C0479A"/>
    <w:rsid w:val="00C049D5"/>
    <w:rsid w:val="00C04CF2"/>
    <w:rsid w:val="00C04D88"/>
    <w:rsid w:val="00C04DBA"/>
    <w:rsid w:val="00C04DC1"/>
    <w:rsid w:val="00C04DD2"/>
    <w:rsid w:val="00C04DE7"/>
    <w:rsid w:val="00C04F0D"/>
    <w:rsid w:val="00C0501B"/>
    <w:rsid w:val="00C05095"/>
    <w:rsid w:val="00C0514F"/>
    <w:rsid w:val="00C051AE"/>
    <w:rsid w:val="00C051B9"/>
    <w:rsid w:val="00C052AB"/>
    <w:rsid w:val="00C0553E"/>
    <w:rsid w:val="00C05574"/>
    <w:rsid w:val="00C058AE"/>
    <w:rsid w:val="00C059DA"/>
    <w:rsid w:val="00C05CD0"/>
    <w:rsid w:val="00C05DE1"/>
    <w:rsid w:val="00C05E78"/>
    <w:rsid w:val="00C060BA"/>
    <w:rsid w:val="00C06156"/>
    <w:rsid w:val="00C06198"/>
    <w:rsid w:val="00C062C2"/>
    <w:rsid w:val="00C063B4"/>
    <w:rsid w:val="00C066ED"/>
    <w:rsid w:val="00C067D0"/>
    <w:rsid w:val="00C06993"/>
    <w:rsid w:val="00C069B7"/>
    <w:rsid w:val="00C069CA"/>
    <w:rsid w:val="00C06BA2"/>
    <w:rsid w:val="00C06D40"/>
    <w:rsid w:val="00C06E6D"/>
    <w:rsid w:val="00C06E79"/>
    <w:rsid w:val="00C06E85"/>
    <w:rsid w:val="00C06FBA"/>
    <w:rsid w:val="00C0702F"/>
    <w:rsid w:val="00C071FE"/>
    <w:rsid w:val="00C07274"/>
    <w:rsid w:val="00C07309"/>
    <w:rsid w:val="00C074C7"/>
    <w:rsid w:val="00C074ED"/>
    <w:rsid w:val="00C075E5"/>
    <w:rsid w:val="00C07630"/>
    <w:rsid w:val="00C07A07"/>
    <w:rsid w:val="00C07B4A"/>
    <w:rsid w:val="00C07E24"/>
    <w:rsid w:val="00C07EEB"/>
    <w:rsid w:val="00C1008B"/>
    <w:rsid w:val="00C10152"/>
    <w:rsid w:val="00C107BF"/>
    <w:rsid w:val="00C108B5"/>
    <w:rsid w:val="00C109B3"/>
    <w:rsid w:val="00C10AF5"/>
    <w:rsid w:val="00C10C0F"/>
    <w:rsid w:val="00C1125B"/>
    <w:rsid w:val="00C11768"/>
    <w:rsid w:val="00C117C8"/>
    <w:rsid w:val="00C1197D"/>
    <w:rsid w:val="00C119BA"/>
    <w:rsid w:val="00C11C70"/>
    <w:rsid w:val="00C11E8E"/>
    <w:rsid w:val="00C11F8F"/>
    <w:rsid w:val="00C12022"/>
    <w:rsid w:val="00C12245"/>
    <w:rsid w:val="00C1229C"/>
    <w:rsid w:val="00C12596"/>
    <w:rsid w:val="00C12679"/>
    <w:rsid w:val="00C1268F"/>
    <w:rsid w:val="00C12800"/>
    <w:rsid w:val="00C1288C"/>
    <w:rsid w:val="00C129FB"/>
    <w:rsid w:val="00C12D5D"/>
    <w:rsid w:val="00C13063"/>
    <w:rsid w:val="00C1310A"/>
    <w:rsid w:val="00C13289"/>
    <w:rsid w:val="00C13310"/>
    <w:rsid w:val="00C1355F"/>
    <w:rsid w:val="00C13722"/>
    <w:rsid w:val="00C13999"/>
    <w:rsid w:val="00C13A35"/>
    <w:rsid w:val="00C13B29"/>
    <w:rsid w:val="00C13BB7"/>
    <w:rsid w:val="00C13BDA"/>
    <w:rsid w:val="00C13E35"/>
    <w:rsid w:val="00C13E80"/>
    <w:rsid w:val="00C13FD2"/>
    <w:rsid w:val="00C14134"/>
    <w:rsid w:val="00C141A6"/>
    <w:rsid w:val="00C14480"/>
    <w:rsid w:val="00C144A9"/>
    <w:rsid w:val="00C147D3"/>
    <w:rsid w:val="00C147D9"/>
    <w:rsid w:val="00C14D8D"/>
    <w:rsid w:val="00C14E49"/>
    <w:rsid w:val="00C15654"/>
    <w:rsid w:val="00C15666"/>
    <w:rsid w:val="00C15732"/>
    <w:rsid w:val="00C159C5"/>
    <w:rsid w:val="00C15CF8"/>
    <w:rsid w:val="00C15F4C"/>
    <w:rsid w:val="00C15FFC"/>
    <w:rsid w:val="00C1619A"/>
    <w:rsid w:val="00C1657A"/>
    <w:rsid w:val="00C1690B"/>
    <w:rsid w:val="00C1697A"/>
    <w:rsid w:val="00C16ACE"/>
    <w:rsid w:val="00C16CF3"/>
    <w:rsid w:val="00C16D8B"/>
    <w:rsid w:val="00C16E61"/>
    <w:rsid w:val="00C1712F"/>
    <w:rsid w:val="00C171FA"/>
    <w:rsid w:val="00C172B0"/>
    <w:rsid w:val="00C1741B"/>
    <w:rsid w:val="00C17575"/>
    <w:rsid w:val="00C175FB"/>
    <w:rsid w:val="00C179AA"/>
    <w:rsid w:val="00C17A81"/>
    <w:rsid w:val="00C17B33"/>
    <w:rsid w:val="00C17E4B"/>
    <w:rsid w:val="00C17F08"/>
    <w:rsid w:val="00C17F94"/>
    <w:rsid w:val="00C20236"/>
    <w:rsid w:val="00C2025F"/>
    <w:rsid w:val="00C2028C"/>
    <w:rsid w:val="00C2045C"/>
    <w:rsid w:val="00C20482"/>
    <w:rsid w:val="00C20572"/>
    <w:rsid w:val="00C206E0"/>
    <w:rsid w:val="00C20C3D"/>
    <w:rsid w:val="00C20CA3"/>
    <w:rsid w:val="00C20FC3"/>
    <w:rsid w:val="00C20FD5"/>
    <w:rsid w:val="00C20FFA"/>
    <w:rsid w:val="00C2130D"/>
    <w:rsid w:val="00C21536"/>
    <w:rsid w:val="00C21668"/>
    <w:rsid w:val="00C21AE3"/>
    <w:rsid w:val="00C21B3D"/>
    <w:rsid w:val="00C21CCA"/>
    <w:rsid w:val="00C21FB4"/>
    <w:rsid w:val="00C2212A"/>
    <w:rsid w:val="00C224DE"/>
    <w:rsid w:val="00C224F8"/>
    <w:rsid w:val="00C2276A"/>
    <w:rsid w:val="00C22951"/>
    <w:rsid w:val="00C22A96"/>
    <w:rsid w:val="00C22AD3"/>
    <w:rsid w:val="00C22C78"/>
    <w:rsid w:val="00C22C93"/>
    <w:rsid w:val="00C22E22"/>
    <w:rsid w:val="00C22E2E"/>
    <w:rsid w:val="00C22FC9"/>
    <w:rsid w:val="00C230FA"/>
    <w:rsid w:val="00C23276"/>
    <w:rsid w:val="00C232DC"/>
    <w:rsid w:val="00C2390D"/>
    <w:rsid w:val="00C23A93"/>
    <w:rsid w:val="00C23CF5"/>
    <w:rsid w:val="00C23D0B"/>
    <w:rsid w:val="00C23F08"/>
    <w:rsid w:val="00C23F2C"/>
    <w:rsid w:val="00C24061"/>
    <w:rsid w:val="00C24136"/>
    <w:rsid w:val="00C24228"/>
    <w:rsid w:val="00C24955"/>
    <w:rsid w:val="00C24A11"/>
    <w:rsid w:val="00C24BA3"/>
    <w:rsid w:val="00C24CFD"/>
    <w:rsid w:val="00C24D61"/>
    <w:rsid w:val="00C24DDD"/>
    <w:rsid w:val="00C24E3B"/>
    <w:rsid w:val="00C24E9F"/>
    <w:rsid w:val="00C25408"/>
    <w:rsid w:val="00C2551D"/>
    <w:rsid w:val="00C2560E"/>
    <w:rsid w:val="00C256A9"/>
    <w:rsid w:val="00C256EE"/>
    <w:rsid w:val="00C257A6"/>
    <w:rsid w:val="00C25E43"/>
    <w:rsid w:val="00C26085"/>
    <w:rsid w:val="00C26217"/>
    <w:rsid w:val="00C26640"/>
    <w:rsid w:val="00C26676"/>
    <w:rsid w:val="00C2668F"/>
    <w:rsid w:val="00C2678D"/>
    <w:rsid w:val="00C26855"/>
    <w:rsid w:val="00C27005"/>
    <w:rsid w:val="00C27124"/>
    <w:rsid w:val="00C2717A"/>
    <w:rsid w:val="00C2748D"/>
    <w:rsid w:val="00C27787"/>
    <w:rsid w:val="00C278CC"/>
    <w:rsid w:val="00C279CB"/>
    <w:rsid w:val="00C27A36"/>
    <w:rsid w:val="00C27AE9"/>
    <w:rsid w:val="00C27BC4"/>
    <w:rsid w:val="00C27C2A"/>
    <w:rsid w:val="00C27CB7"/>
    <w:rsid w:val="00C27D4D"/>
    <w:rsid w:val="00C27DC4"/>
    <w:rsid w:val="00C27DC8"/>
    <w:rsid w:val="00C27E90"/>
    <w:rsid w:val="00C30257"/>
    <w:rsid w:val="00C305A3"/>
    <w:rsid w:val="00C3064B"/>
    <w:rsid w:val="00C3099E"/>
    <w:rsid w:val="00C30BF9"/>
    <w:rsid w:val="00C30D50"/>
    <w:rsid w:val="00C30E46"/>
    <w:rsid w:val="00C30EC6"/>
    <w:rsid w:val="00C30EF6"/>
    <w:rsid w:val="00C3117B"/>
    <w:rsid w:val="00C31268"/>
    <w:rsid w:val="00C313CA"/>
    <w:rsid w:val="00C31776"/>
    <w:rsid w:val="00C31979"/>
    <w:rsid w:val="00C31AA6"/>
    <w:rsid w:val="00C31D67"/>
    <w:rsid w:val="00C31DBE"/>
    <w:rsid w:val="00C31EFC"/>
    <w:rsid w:val="00C32108"/>
    <w:rsid w:val="00C32218"/>
    <w:rsid w:val="00C323AE"/>
    <w:rsid w:val="00C3256B"/>
    <w:rsid w:val="00C32590"/>
    <w:rsid w:val="00C326BB"/>
    <w:rsid w:val="00C32741"/>
    <w:rsid w:val="00C32770"/>
    <w:rsid w:val="00C32944"/>
    <w:rsid w:val="00C32A7F"/>
    <w:rsid w:val="00C32AD9"/>
    <w:rsid w:val="00C32BFC"/>
    <w:rsid w:val="00C32C75"/>
    <w:rsid w:val="00C32DF4"/>
    <w:rsid w:val="00C32E3B"/>
    <w:rsid w:val="00C32E9A"/>
    <w:rsid w:val="00C32F86"/>
    <w:rsid w:val="00C32FA3"/>
    <w:rsid w:val="00C3304F"/>
    <w:rsid w:val="00C33203"/>
    <w:rsid w:val="00C33286"/>
    <w:rsid w:val="00C332F3"/>
    <w:rsid w:val="00C33856"/>
    <w:rsid w:val="00C33930"/>
    <w:rsid w:val="00C33C73"/>
    <w:rsid w:val="00C33CAE"/>
    <w:rsid w:val="00C33E76"/>
    <w:rsid w:val="00C33E83"/>
    <w:rsid w:val="00C33ED9"/>
    <w:rsid w:val="00C33F74"/>
    <w:rsid w:val="00C34043"/>
    <w:rsid w:val="00C340A0"/>
    <w:rsid w:val="00C340E2"/>
    <w:rsid w:val="00C34172"/>
    <w:rsid w:val="00C34306"/>
    <w:rsid w:val="00C344AB"/>
    <w:rsid w:val="00C347BB"/>
    <w:rsid w:val="00C347EE"/>
    <w:rsid w:val="00C3482D"/>
    <w:rsid w:val="00C34A9D"/>
    <w:rsid w:val="00C34AC1"/>
    <w:rsid w:val="00C34B14"/>
    <w:rsid w:val="00C34B16"/>
    <w:rsid w:val="00C34EC1"/>
    <w:rsid w:val="00C353E3"/>
    <w:rsid w:val="00C35431"/>
    <w:rsid w:val="00C35699"/>
    <w:rsid w:val="00C35A0D"/>
    <w:rsid w:val="00C35B9B"/>
    <w:rsid w:val="00C35D2D"/>
    <w:rsid w:val="00C35DC2"/>
    <w:rsid w:val="00C35F06"/>
    <w:rsid w:val="00C35FA9"/>
    <w:rsid w:val="00C367FE"/>
    <w:rsid w:val="00C36BCB"/>
    <w:rsid w:val="00C36C91"/>
    <w:rsid w:val="00C36C9C"/>
    <w:rsid w:val="00C36DE2"/>
    <w:rsid w:val="00C36DFD"/>
    <w:rsid w:val="00C3701C"/>
    <w:rsid w:val="00C3725C"/>
    <w:rsid w:val="00C37681"/>
    <w:rsid w:val="00C37708"/>
    <w:rsid w:val="00C37B97"/>
    <w:rsid w:val="00C37FA2"/>
    <w:rsid w:val="00C401C7"/>
    <w:rsid w:val="00C40221"/>
    <w:rsid w:val="00C40758"/>
    <w:rsid w:val="00C407D3"/>
    <w:rsid w:val="00C408B4"/>
    <w:rsid w:val="00C408DA"/>
    <w:rsid w:val="00C40968"/>
    <w:rsid w:val="00C409C6"/>
    <w:rsid w:val="00C40C92"/>
    <w:rsid w:val="00C40E98"/>
    <w:rsid w:val="00C40EB2"/>
    <w:rsid w:val="00C4107A"/>
    <w:rsid w:val="00C4168A"/>
    <w:rsid w:val="00C41831"/>
    <w:rsid w:val="00C41A4C"/>
    <w:rsid w:val="00C41AE3"/>
    <w:rsid w:val="00C41B92"/>
    <w:rsid w:val="00C41C21"/>
    <w:rsid w:val="00C41CC3"/>
    <w:rsid w:val="00C41DFD"/>
    <w:rsid w:val="00C41E91"/>
    <w:rsid w:val="00C41EA1"/>
    <w:rsid w:val="00C421E4"/>
    <w:rsid w:val="00C4241E"/>
    <w:rsid w:val="00C42718"/>
    <w:rsid w:val="00C42866"/>
    <w:rsid w:val="00C428AF"/>
    <w:rsid w:val="00C4290E"/>
    <w:rsid w:val="00C42985"/>
    <w:rsid w:val="00C42B0B"/>
    <w:rsid w:val="00C42F97"/>
    <w:rsid w:val="00C42FD0"/>
    <w:rsid w:val="00C43318"/>
    <w:rsid w:val="00C43347"/>
    <w:rsid w:val="00C4348D"/>
    <w:rsid w:val="00C435E1"/>
    <w:rsid w:val="00C436D7"/>
    <w:rsid w:val="00C43B92"/>
    <w:rsid w:val="00C43C00"/>
    <w:rsid w:val="00C43CD7"/>
    <w:rsid w:val="00C43E10"/>
    <w:rsid w:val="00C44206"/>
    <w:rsid w:val="00C44419"/>
    <w:rsid w:val="00C44435"/>
    <w:rsid w:val="00C44565"/>
    <w:rsid w:val="00C44569"/>
    <w:rsid w:val="00C44736"/>
    <w:rsid w:val="00C447EC"/>
    <w:rsid w:val="00C44839"/>
    <w:rsid w:val="00C448E7"/>
    <w:rsid w:val="00C449E5"/>
    <w:rsid w:val="00C44A4A"/>
    <w:rsid w:val="00C44C84"/>
    <w:rsid w:val="00C44CDC"/>
    <w:rsid w:val="00C44D68"/>
    <w:rsid w:val="00C44ED9"/>
    <w:rsid w:val="00C450B2"/>
    <w:rsid w:val="00C4534C"/>
    <w:rsid w:val="00C456DB"/>
    <w:rsid w:val="00C45943"/>
    <w:rsid w:val="00C45CBC"/>
    <w:rsid w:val="00C45D91"/>
    <w:rsid w:val="00C46241"/>
    <w:rsid w:val="00C46287"/>
    <w:rsid w:val="00C463D9"/>
    <w:rsid w:val="00C46432"/>
    <w:rsid w:val="00C4678E"/>
    <w:rsid w:val="00C467C5"/>
    <w:rsid w:val="00C46AB9"/>
    <w:rsid w:val="00C46F22"/>
    <w:rsid w:val="00C470C8"/>
    <w:rsid w:val="00C4710D"/>
    <w:rsid w:val="00C47110"/>
    <w:rsid w:val="00C4713B"/>
    <w:rsid w:val="00C472B6"/>
    <w:rsid w:val="00C47460"/>
    <w:rsid w:val="00C476CF"/>
    <w:rsid w:val="00C47764"/>
    <w:rsid w:val="00C47780"/>
    <w:rsid w:val="00C4778A"/>
    <w:rsid w:val="00C47831"/>
    <w:rsid w:val="00C47868"/>
    <w:rsid w:val="00C47CF2"/>
    <w:rsid w:val="00C5007E"/>
    <w:rsid w:val="00C50107"/>
    <w:rsid w:val="00C50125"/>
    <w:rsid w:val="00C5015A"/>
    <w:rsid w:val="00C5021B"/>
    <w:rsid w:val="00C50299"/>
    <w:rsid w:val="00C5066B"/>
    <w:rsid w:val="00C5086C"/>
    <w:rsid w:val="00C50934"/>
    <w:rsid w:val="00C50BF9"/>
    <w:rsid w:val="00C50C12"/>
    <w:rsid w:val="00C50C2E"/>
    <w:rsid w:val="00C50C60"/>
    <w:rsid w:val="00C50EE7"/>
    <w:rsid w:val="00C51510"/>
    <w:rsid w:val="00C51571"/>
    <w:rsid w:val="00C51650"/>
    <w:rsid w:val="00C518EE"/>
    <w:rsid w:val="00C519E5"/>
    <w:rsid w:val="00C519F9"/>
    <w:rsid w:val="00C51A09"/>
    <w:rsid w:val="00C51B72"/>
    <w:rsid w:val="00C5201B"/>
    <w:rsid w:val="00C52378"/>
    <w:rsid w:val="00C5245C"/>
    <w:rsid w:val="00C524C0"/>
    <w:rsid w:val="00C52770"/>
    <w:rsid w:val="00C52838"/>
    <w:rsid w:val="00C52935"/>
    <w:rsid w:val="00C52BE0"/>
    <w:rsid w:val="00C52D3F"/>
    <w:rsid w:val="00C52E03"/>
    <w:rsid w:val="00C52E6B"/>
    <w:rsid w:val="00C5300D"/>
    <w:rsid w:val="00C5301E"/>
    <w:rsid w:val="00C53042"/>
    <w:rsid w:val="00C530DD"/>
    <w:rsid w:val="00C5316F"/>
    <w:rsid w:val="00C532DA"/>
    <w:rsid w:val="00C5345D"/>
    <w:rsid w:val="00C534E6"/>
    <w:rsid w:val="00C53569"/>
    <w:rsid w:val="00C5356E"/>
    <w:rsid w:val="00C5365A"/>
    <w:rsid w:val="00C536F7"/>
    <w:rsid w:val="00C53794"/>
    <w:rsid w:val="00C53BCC"/>
    <w:rsid w:val="00C54069"/>
    <w:rsid w:val="00C54696"/>
    <w:rsid w:val="00C546D7"/>
    <w:rsid w:val="00C548AC"/>
    <w:rsid w:val="00C5496A"/>
    <w:rsid w:val="00C54985"/>
    <w:rsid w:val="00C5499B"/>
    <w:rsid w:val="00C54B21"/>
    <w:rsid w:val="00C54CD6"/>
    <w:rsid w:val="00C54EC4"/>
    <w:rsid w:val="00C55095"/>
    <w:rsid w:val="00C55130"/>
    <w:rsid w:val="00C551F8"/>
    <w:rsid w:val="00C552C3"/>
    <w:rsid w:val="00C554B5"/>
    <w:rsid w:val="00C555A7"/>
    <w:rsid w:val="00C5573B"/>
    <w:rsid w:val="00C558CF"/>
    <w:rsid w:val="00C55B4C"/>
    <w:rsid w:val="00C55C53"/>
    <w:rsid w:val="00C55DBB"/>
    <w:rsid w:val="00C55DE1"/>
    <w:rsid w:val="00C55E70"/>
    <w:rsid w:val="00C560E0"/>
    <w:rsid w:val="00C5644E"/>
    <w:rsid w:val="00C5645D"/>
    <w:rsid w:val="00C564F6"/>
    <w:rsid w:val="00C5678D"/>
    <w:rsid w:val="00C568BE"/>
    <w:rsid w:val="00C5699C"/>
    <w:rsid w:val="00C56B7B"/>
    <w:rsid w:val="00C56BE1"/>
    <w:rsid w:val="00C57113"/>
    <w:rsid w:val="00C57171"/>
    <w:rsid w:val="00C574A6"/>
    <w:rsid w:val="00C57542"/>
    <w:rsid w:val="00C577F4"/>
    <w:rsid w:val="00C57976"/>
    <w:rsid w:val="00C57A1E"/>
    <w:rsid w:val="00C57A24"/>
    <w:rsid w:val="00C57A88"/>
    <w:rsid w:val="00C57F6C"/>
    <w:rsid w:val="00C600A4"/>
    <w:rsid w:val="00C6017F"/>
    <w:rsid w:val="00C60642"/>
    <w:rsid w:val="00C60698"/>
    <w:rsid w:val="00C6088B"/>
    <w:rsid w:val="00C6095C"/>
    <w:rsid w:val="00C60BB3"/>
    <w:rsid w:val="00C60CDD"/>
    <w:rsid w:val="00C60D64"/>
    <w:rsid w:val="00C60DBC"/>
    <w:rsid w:val="00C6108A"/>
    <w:rsid w:val="00C610E3"/>
    <w:rsid w:val="00C6123D"/>
    <w:rsid w:val="00C61391"/>
    <w:rsid w:val="00C6163D"/>
    <w:rsid w:val="00C61767"/>
    <w:rsid w:val="00C61A02"/>
    <w:rsid w:val="00C61A96"/>
    <w:rsid w:val="00C61AF6"/>
    <w:rsid w:val="00C61B9F"/>
    <w:rsid w:val="00C61D5A"/>
    <w:rsid w:val="00C61E74"/>
    <w:rsid w:val="00C621C4"/>
    <w:rsid w:val="00C6222E"/>
    <w:rsid w:val="00C6229B"/>
    <w:rsid w:val="00C6230B"/>
    <w:rsid w:val="00C6240D"/>
    <w:rsid w:val="00C6242F"/>
    <w:rsid w:val="00C625A7"/>
    <w:rsid w:val="00C625D8"/>
    <w:rsid w:val="00C628D6"/>
    <w:rsid w:val="00C628EF"/>
    <w:rsid w:val="00C62B9E"/>
    <w:rsid w:val="00C62C1C"/>
    <w:rsid w:val="00C62DFE"/>
    <w:rsid w:val="00C62E4F"/>
    <w:rsid w:val="00C62FE2"/>
    <w:rsid w:val="00C62FF0"/>
    <w:rsid w:val="00C633C4"/>
    <w:rsid w:val="00C63505"/>
    <w:rsid w:val="00C635AC"/>
    <w:rsid w:val="00C635AD"/>
    <w:rsid w:val="00C6364F"/>
    <w:rsid w:val="00C63A5E"/>
    <w:rsid w:val="00C63AFC"/>
    <w:rsid w:val="00C63D4E"/>
    <w:rsid w:val="00C63E21"/>
    <w:rsid w:val="00C64096"/>
    <w:rsid w:val="00C640B5"/>
    <w:rsid w:val="00C6428F"/>
    <w:rsid w:val="00C6429E"/>
    <w:rsid w:val="00C642A6"/>
    <w:rsid w:val="00C64606"/>
    <w:rsid w:val="00C64D08"/>
    <w:rsid w:val="00C64EDE"/>
    <w:rsid w:val="00C6502D"/>
    <w:rsid w:val="00C650D4"/>
    <w:rsid w:val="00C65123"/>
    <w:rsid w:val="00C6523B"/>
    <w:rsid w:val="00C6587F"/>
    <w:rsid w:val="00C658D1"/>
    <w:rsid w:val="00C65914"/>
    <w:rsid w:val="00C65ADD"/>
    <w:rsid w:val="00C65AEA"/>
    <w:rsid w:val="00C65F52"/>
    <w:rsid w:val="00C661B1"/>
    <w:rsid w:val="00C662BF"/>
    <w:rsid w:val="00C6642D"/>
    <w:rsid w:val="00C665F7"/>
    <w:rsid w:val="00C666F1"/>
    <w:rsid w:val="00C666FB"/>
    <w:rsid w:val="00C66754"/>
    <w:rsid w:val="00C6683C"/>
    <w:rsid w:val="00C66A4A"/>
    <w:rsid w:val="00C66AF4"/>
    <w:rsid w:val="00C66D33"/>
    <w:rsid w:val="00C66F84"/>
    <w:rsid w:val="00C66FD6"/>
    <w:rsid w:val="00C671A0"/>
    <w:rsid w:val="00C67205"/>
    <w:rsid w:val="00C6734E"/>
    <w:rsid w:val="00C674D9"/>
    <w:rsid w:val="00C674EE"/>
    <w:rsid w:val="00C67563"/>
    <w:rsid w:val="00C677A2"/>
    <w:rsid w:val="00C677F8"/>
    <w:rsid w:val="00C67969"/>
    <w:rsid w:val="00C67BD6"/>
    <w:rsid w:val="00C67C61"/>
    <w:rsid w:val="00C67D33"/>
    <w:rsid w:val="00C67D64"/>
    <w:rsid w:val="00C67FF2"/>
    <w:rsid w:val="00C70070"/>
    <w:rsid w:val="00C703DA"/>
    <w:rsid w:val="00C70596"/>
    <w:rsid w:val="00C706F4"/>
    <w:rsid w:val="00C70710"/>
    <w:rsid w:val="00C707E1"/>
    <w:rsid w:val="00C70A8E"/>
    <w:rsid w:val="00C70B73"/>
    <w:rsid w:val="00C7140B"/>
    <w:rsid w:val="00C7150B"/>
    <w:rsid w:val="00C71668"/>
    <w:rsid w:val="00C717C1"/>
    <w:rsid w:val="00C71A91"/>
    <w:rsid w:val="00C71C1E"/>
    <w:rsid w:val="00C71C2D"/>
    <w:rsid w:val="00C71D94"/>
    <w:rsid w:val="00C71DC3"/>
    <w:rsid w:val="00C71E1B"/>
    <w:rsid w:val="00C71E62"/>
    <w:rsid w:val="00C71E7E"/>
    <w:rsid w:val="00C71FD2"/>
    <w:rsid w:val="00C71FDD"/>
    <w:rsid w:val="00C7217D"/>
    <w:rsid w:val="00C72193"/>
    <w:rsid w:val="00C721B2"/>
    <w:rsid w:val="00C72267"/>
    <w:rsid w:val="00C7235D"/>
    <w:rsid w:val="00C7239B"/>
    <w:rsid w:val="00C7258A"/>
    <w:rsid w:val="00C72847"/>
    <w:rsid w:val="00C72AC1"/>
    <w:rsid w:val="00C72C68"/>
    <w:rsid w:val="00C72C7E"/>
    <w:rsid w:val="00C72C91"/>
    <w:rsid w:val="00C72D38"/>
    <w:rsid w:val="00C72DBB"/>
    <w:rsid w:val="00C72EA0"/>
    <w:rsid w:val="00C72F78"/>
    <w:rsid w:val="00C7303B"/>
    <w:rsid w:val="00C73152"/>
    <w:rsid w:val="00C73295"/>
    <w:rsid w:val="00C734C6"/>
    <w:rsid w:val="00C735E3"/>
    <w:rsid w:val="00C735F8"/>
    <w:rsid w:val="00C738C9"/>
    <w:rsid w:val="00C739A0"/>
    <w:rsid w:val="00C73C13"/>
    <w:rsid w:val="00C73D2A"/>
    <w:rsid w:val="00C73DAC"/>
    <w:rsid w:val="00C73E3F"/>
    <w:rsid w:val="00C73F46"/>
    <w:rsid w:val="00C74616"/>
    <w:rsid w:val="00C74716"/>
    <w:rsid w:val="00C747A5"/>
    <w:rsid w:val="00C747BD"/>
    <w:rsid w:val="00C74B50"/>
    <w:rsid w:val="00C74B92"/>
    <w:rsid w:val="00C74ED1"/>
    <w:rsid w:val="00C74F07"/>
    <w:rsid w:val="00C75101"/>
    <w:rsid w:val="00C75390"/>
    <w:rsid w:val="00C7541E"/>
    <w:rsid w:val="00C754F5"/>
    <w:rsid w:val="00C75581"/>
    <w:rsid w:val="00C75661"/>
    <w:rsid w:val="00C75737"/>
    <w:rsid w:val="00C75750"/>
    <w:rsid w:val="00C759C3"/>
    <w:rsid w:val="00C75A2D"/>
    <w:rsid w:val="00C75A33"/>
    <w:rsid w:val="00C7607E"/>
    <w:rsid w:val="00C76116"/>
    <w:rsid w:val="00C76800"/>
    <w:rsid w:val="00C76850"/>
    <w:rsid w:val="00C76BAD"/>
    <w:rsid w:val="00C76BFF"/>
    <w:rsid w:val="00C76CE2"/>
    <w:rsid w:val="00C76D2C"/>
    <w:rsid w:val="00C76ECC"/>
    <w:rsid w:val="00C77140"/>
    <w:rsid w:val="00C772BC"/>
    <w:rsid w:val="00C77533"/>
    <w:rsid w:val="00C7753C"/>
    <w:rsid w:val="00C77648"/>
    <w:rsid w:val="00C777F2"/>
    <w:rsid w:val="00C779E7"/>
    <w:rsid w:val="00C77A73"/>
    <w:rsid w:val="00C77C5F"/>
    <w:rsid w:val="00C77C8A"/>
    <w:rsid w:val="00C77CBB"/>
    <w:rsid w:val="00C8009D"/>
    <w:rsid w:val="00C802E8"/>
    <w:rsid w:val="00C80362"/>
    <w:rsid w:val="00C80652"/>
    <w:rsid w:val="00C8080C"/>
    <w:rsid w:val="00C80919"/>
    <w:rsid w:val="00C80AFC"/>
    <w:rsid w:val="00C80B0E"/>
    <w:rsid w:val="00C80B51"/>
    <w:rsid w:val="00C80B58"/>
    <w:rsid w:val="00C80ECB"/>
    <w:rsid w:val="00C810AC"/>
    <w:rsid w:val="00C81224"/>
    <w:rsid w:val="00C812A2"/>
    <w:rsid w:val="00C812CB"/>
    <w:rsid w:val="00C813F2"/>
    <w:rsid w:val="00C81552"/>
    <w:rsid w:val="00C81583"/>
    <w:rsid w:val="00C81975"/>
    <w:rsid w:val="00C819DB"/>
    <w:rsid w:val="00C81BBE"/>
    <w:rsid w:val="00C81E75"/>
    <w:rsid w:val="00C81F14"/>
    <w:rsid w:val="00C81FD1"/>
    <w:rsid w:val="00C82027"/>
    <w:rsid w:val="00C822C7"/>
    <w:rsid w:val="00C8251E"/>
    <w:rsid w:val="00C8256B"/>
    <w:rsid w:val="00C8269F"/>
    <w:rsid w:val="00C8274F"/>
    <w:rsid w:val="00C828D8"/>
    <w:rsid w:val="00C82950"/>
    <w:rsid w:val="00C829A2"/>
    <w:rsid w:val="00C82A9E"/>
    <w:rsid w:val="00C82BFB"/>
    <w:rsid w:val="00C82C31"/>
    <w:rsid w:val="00C82EF3"/>
    <w:rsid w:val="00C82F24"/>
    <w:rsid w:val="00C82F80"/>
    <w:rsid w:val="00C8316E"/>
    <w:rsid w:val="00C834C6"/>
    <w:rsid w:val="00C835CF"/>
    <w:rsid w:val="00C836A8"/>
    <w:rsid w:val="00C838A1"/>
    <w:rsid w:val="00C83A04"/>
    <w:rsid w:val="00C83A17"/>
    <w:rsid w:val="00C83CDF"/>
    <w:rsid w:val="00C842C7"/>
    <w:rsid w:val="00C8443A"/>
    <w:rsid w:val="00C844AE"/>
    <w:rsid w:val="00C844B2"/>
    <w:rsid w:val="00C8462F"/>
    <w:rsid w:val="00C84BE3"/>
    <w:rsid w:val="00C84F14"/>
    <w:rsid w:val="00C84F2E"/>
    <w:rsid w:val="00C84F74"/>
    <w:rsid w:val="00C8553D"/>
    <w:rsid w:val="00C8555C"/>
    <w:rsid w:val="00C858EB"/>
    <w:rsid w:val="00C85947"/>
    <w:rsid w:val="00C85AEB"/>
    <w:rsid w:val="00C85D33"/>
    <w:rsid w:val="00C85EF7"/>
    <w:rsid w:val="00C860F0"/>
    <w:rsid w:val="00C860F3"/>
    <w:rsid w:val="00C866A7"/>
    <w:rsid w:val="00C869AD"/>
    <w:rsid w:val="00C86AE4"/>
    <w:rsid w:val="00C86C57"/>
    <w:rsid w:val="00C86D60"/>
    <w:rsid w:val="00C86EDF"/>
    <w:rsid w:val="00C872FF"/>
    <w:rsid w:val="00C875A1"/>
    <w:rsid w:val="00C87636"/>
    <w:rsid w:val="00C8778B"/>
    <w:rsid w:val="00C877C1"/>
    <w:rsid w:val="00C87C65"/>
    <w:rsid w:val="00C87EDB"/>
    <w:rsid w:val="00C87FAB"/>
    <w:rsid w:val="00C900EB"/>
    <w:rsid w:val="00C901F1"/>
    <w:rsid w:val="00C9024D"/>
    <w:rsid w:val="00C902CF"/>
    <w:rsid w:val="00C9045D"/>
    <w:rsid w:val="00C90657"/>
    <w:rsid w:val="00C90757"/>
    <w:rsid w:val="00C908C1"/>
    <w:rsid w:val="00C90AA0"/>
    <w:rsid w:val="00C90B34"/>
    <w:rsid w:val="00C90B46"/>
    <w:rsid w:val="00C90F37"/>
    <w:rsid w:val="00C910CE"/>
    <w:rsid w:val="00C910DB"/>
    <w:rsid w:val="00C911FC"/>
    <w:rsid w:val="00C9131A"/>
    <w:rsid w:val="00C9150A"/>
    <w:rsid w:val="00C9192C"/>
    <w:rsid w:val="00C91A07"/>
    <w:rsid w:val="00C91B78"/>
    <w:rsid w:val="00C91E76"/>
    <w:rsid w:val="00C92504"/>
    <w:rsid w:val="00C92728"/>
    <w:rsid w:val="00C9292F"/>
    <w:rsid w:val="00C92971"/>
    <w:rsid w:val="00C92988"/>
    <w:rsid w:val="00C92AE3"/>
    <w:rsid w:val="00C92C3B"/>
    <w:rsid w:val="00C92C65"/>
    <w:rsid w:val="00C93264"/>
    <w:rsid w:val="00C932F6"/>
    <w:rsid w:val="00C93486"/>
    <w:rsid w:val="00C9378A"/>
    <w:rsid w:val="00C93B45"/>
    <w:rsid w:val="00C93F55"/>
    <w:rsid w:val="00C9418C"/>
    <w:rsid w:val="00C94383"/>
    <w:rsid w:val="00C943C8"/>
    <w:rsid w:val="00C94586"/>
    <w:rsid w:val="00C94659"/>
    <w:rsid w:val="00C94696"/>
    <w:rsid w:val="00C94710"/>
    <w:rsid w:val="00C94A18"/>
    <w:rsid w:val="00C94A37"/>
    <w:rsid w:val="00C94AE5"/>
    <w:rsid w:val="00C94B17"/>
    <w:rsid w:val="00C94B92"/>
    <w:rsid w:val="00C94C4B"/>
    <w:rsid w:val="00C94CA1"/>
    <w:rsid w:val="00C94D3F"/>
    <w:rsid w:val="00C94E09"/>
    <w:rsid w:val="00C94E17"/>
    <w:rsid w:val="00C950C8"/>
    <w:rsid w:val="00C950DE"/>
    <w:rsid w:val="00C951C1"/>
    <w:rsid w:val="00C951C4"/>
    <w:rsid w:val="00C952B7"/>
    <w:rsid w:val="00C9532A"/>
    <w:rsid w:val="00C95447"/>
    <w:rsid w:val="00C957FB"/>
    <w:rsid w:val="00C9586A"/>
    <w:rsid w:val="00C958CF"/>
    <w:rsid w:val="00C95BEC"/>
    <w:rsid w:val="00C95F0E"/>
    <w:rsid w:val="00C95FB8"/>
    <w:rsid w:val="00C9634A"/>
    <w:rsid w:val="00C963D3"/>
    <w:rsid w:val="00C965EF"/>
    <w:rsid w:val="00C96656"/>
    <w:rsid w:val="00C96B79"/>
    <w:rsid w:val="00C96DD0"/>
    <w:rsid w:val="00C96F23"/>
    <w:rsid w:val="00C96FCD"/>
    <w:rsid w:val="00C971BE"/>
    <w:rsid w:val="00C973E8"/>
    <w:rsid w:val="00C9755F"/>
    <w:rsid w:val="00C97906"/>
    <w:rsid w:val="00C97968"/>
    <w:rsid w:val="00C9799F"/>
    <w:rsid w:val="00C97F7E"/>
    <w:rsid w:val="00CA0011"/>
    <w:rsid w:val="00CA0029"/>
    <w:rsid w:val="00CA006B"/>
    <w:rsid w:val="00CA013A"/>
    <w:rsid w:val="00CA01A4"/>
    <w:rsid w:val="00CA0333"/>
    <w:rsid w:val="00CA06D8"/>
    <w:rsid w:val="00CA079F"/>
    <w:rsid w:val="00CA0883"/>
    <w:rsid w:val="00CA0998"/>
    <w:rsid w:val="00CA0EF4"/>
    <w:rsid w:val="00CA1133"/>
    <w:rsid w:val="00CA1461"/>
    <w:rsid w:val="00CA153C"/>
    <w:rsid w:val="00CA1720"/>
    <w:rsid w:val="00CA18E9"/>
    <w:rsid w:val="00CA1942"/>
    <w:rsid w:val="00CA19BE"/>
    <w:rsid w:val="00CA1A51"/>
    <w:rsid w:val="00CA1AB2"/>
    <w:rsid w:val="00CA1ABA"/>
    <w:rsid w:val="00CA1AC1"/>
    <w:rsid w:val="00CA1F67"/>
    <w:rsid w:val="00CA2025"/>
    <w:rsid w:val="00CA2177"/>
    <w:rsid w:val="00CA23AD"/>
    <w:rsid w:val="00CA23E8"/>
    <w:rsid w:val="00CA26D0"/>
    <w:rsid w:val="00CA2762"/>
    <w:rsid w:val="00CA2831"/>
    <w:rsid w:val="00CA2B84"/>
    <w:rsid w:val="00CA2C52"/>
    <w:rsid w:val="00CA3115"/>
    <w:rsid w:val="00CA3153"/>
    <w:rsid w:val="00CA3279"/>
    <w:rsid w:val="00CA347E"/>
    <w:rsid w:val="00CA34FA"/>
    <w:rsid w:val="00CA3582"/>
    <w:rsid w:val="00CA380A"/>
    <w:rsid w:val="00CA3914"/>
    <w:rsid w:val="00CA39EE"/>
    <w:rsid w:val="00CA3D93"/>
    <w:rsid w:val="00CA3EFF"/>
    <w:rsid w:val="00CA3F05"/>
    <w:rsid w:val="00CA3FDE"/>
    <w:rsid w:val="00CA42F5"/>
    <w:rsid w:val="00CA4349"/>
    <w:rsid w:val="00CA4451"/>
    <w:rsid w:val="00CA4642"/>
    <w:rsid w:val="00CA4722"/>
    <w:rsid w:val="00CA4807"/>
    <w:rsid w:val="00CA494B"/>
    <w:rsid w:val="00CA4A6A"/>
    <w:rsid w:val="00CA4AFD"/>
    <w:rsid w:val="00CA4C69"/>
    <w:rsid w:val="00CA4C7C"/>
    <w:rsid w:val="00CA4CBD"/>
    <w:rsid w:val="00CA4CCE"/>
    <w:rsid w:val="00CA4FDB"/>
    <w:rsid w:val="00CA503C"/>
    <w:rsid w:val="00CA5392"/>
    <w:rsid w:val="00CA53CB"/>
    <w:rsid w:val="00CA5453"/>
    <w:rsid w:val="00CA5463"/>
    <w:rsid w:val="00CA552D"/>
    <w:rsid w:val="00CA574B"/>
    <w:rsid w:val="00CA580C"/>
    <w:rsid w:val="00CA58D5"/>
    <w:rsid w:val="00CA5B7D"/>
    <w:rsid w:val="00CA5CB0"/>
    <w:rsid w:val="00CA5DF2"/>
    <w:rsid w:val="00CA5E46"/>
    <w:rsid w:val="00CA6070"/>
    <w:rsid w:val="00CA6124"/>
    <w:rsid w:val="00CA677D"/>
    <w:rsid w:val="00CA696F"/>
    <w:rsid w:val="00CA698F"/>
    <w:rsid w:val="00CA6B60"/>
    <w:rsid w:val="00CA6B74"/>
    <w:rsid w:val="00CA6E0E"/>
    <w:rsid w:val="00CA6E3D"/>
    <w:rsid w:val="00CA6E5C"/>
    <w:rsid w:val="00CA6EF0"/>
    <w:rsid w:val="00CA6F2A"/>
    <w:rsid w:val="00CA6F5A"/>
    <w:rsid w:val="00CA7376"/>
    <w:rsid w:val="00CA764A"/>
    <w:rsid w:val="00CA76FC"/>
    <w:rsid w:val="00CA7771"/>
    <w:rsid w:val="00CA794B"/>
    <w:rsid w:val="00CA7E8D"/>
    <w:rsid w:val="00CA7F11"/>
    <w:rsid w:val="00CA7F9A"/>
    <w:rsid w:val="00CB00E5"/>
    <w:rsid w:val="00CB0188"/>
    <w:rsid w:val="00CB0812"/>
    <w:rsid w:val="00CB08CC"/>
    <w:rsid w:val="00CB0924"/>
    <w:rsid w:val="00CB0C4F"/>
    <w:rsid w:val="00CB0CEA"/>
    <w:rsid w:val="00CB0D67"/>
    <w:rsid w:val="00CB0DBE"/>
    <w:rsid w:val="00CB0FEA"/>
    <w:rsid w:val="00CB1244"/>
    <w:rsid w:val="00CB12AA"/>
    <w:rsid w:val="00CB133C"/>
    <w:rsid w:val="00CB1436"/>
    <w:rsid w:val="00CB15F6"/>
    <w:rsid w:val="00CB1612"/>
    <w:rsid w:val="00CB1716"/>
    <w:rsid w:val="00CB1748"/>
    <w:rsid w:val="00CB1AAA"/>
    <w:rsid w:val="00CB1ADB"/>
    <w:rsid w:val="00CB1D33"/>
    <w:rsid w:val="00CB1D66"/>
    <w:rsid w:val="00CB1D6B"/>
    <w:rsid w:val="00CB1F29"/>
    <w:rsid w:val="00CB1F5E"/>
    <w:rsid w:val="00CB1F9A"/>
    <w:rsid w:val="00CB2188"/>
    <w:rsid w:val="00CB25FD"/>
    <w:rsid w:val="00CB27C5"/>
    <w:rsid w:val="00CB2846"/>
    <w:rsid w:val="00CB298E"/>
    <w:rsid w:val="00CB2ABB"/>
    <w:rsid w:val="00CB2C39"/>
    <w:rsid w:val="00CB2C53"/>
    <w:rsid w:val="00CB2E6E"/>
    <w:rsid w:val="00CB2E9F"/>
    <w:rsid w:val="00CB349E"/>
    <w:rsid w:val="00CB361F"/>
    <w:rsid w:val="00CB380A"/>
    <w:rsid w:val="00CB3820"/>
    <w:rsid w:val="00CB3901"/>
    <w:rsid w:val="00CB3913"/>
    <w:rsid w:val="00CB3983"/>
    <w:rsid w:val="00CB3A03"/>
    <w:rsid w:val="00CB3ABC"/>
    <w:rsid w:val="00CB3CC6"/>
    <w:rsid w:val="00CB3FBC"/>
    <w:rsid w:val="00CB4194"/>
    <w:rsid w:val="00CB43DD"/>
    <w:rsid w:val="00CB44F6"/>
    <w:rsid w:val="00CB4538"/>
    <w:rsid w:val="00CB463D"/>
    <w:rsid w:val="00CB4912"/>
    <w:rsid w:val="00CB4A8C"/>
    <w:rsid w:val="00CB4ABA"/>
    <w:rsid w:val="00CB4BE2"/>
    <w:rsid w:val="00CB4C1E"/>
    <w:rsid w:val="00CB4D42"/>
    <w:rsid w:val="00CB4D44"/>
    <w:rsid w:val="00CB4F24"/>
    <w:rsid w:val="00CB4F9B"/>
    <w:rsid w:val="00CB5135"/>
    <w:rsid w:val="00CB51A8"/>
    <w:rsid w:val="00CB51AF"/>
    <w:rsid w:val="00CB521D"/>
    <w:rsid w:val="00CB52E9"/>
    <w:rsid w:val="00CB5338"/>
    <w:rsid w:val="00CB53F3"/>
    <w:rsid w:val="00CB5403"/>
    <w:rsid w:val="00CB5424"/>
    <w:rsid w:val="00CB5634"/>
    <w:rsid w:val="00CB56B6"/>
    <w:rsid w:val="00CB5722"/>
    <w:rsid w:val="00CB6086"/>
    <w:rsid w:val="00CB60B4"/>
    <w:rsid w:val="00CB659D"/>
    <w:rsid w:val="00CB660C"/>
    <w:rsid w:val="00CB673A"/>
    <w:rsid w:val="00CB6760"/>
    <w:rsid w:val="00CB6775"/>
    <w:rsid w:val="00CB67AD"/>
    <w:rsid w:val="00CB6B5A"/>
    <w:rsid w:val="00CB6B66"/>
    <w:rsid w:val="00CB6DBD"/>
    <w:rsid w:val="00CB6DBF"/>
    <w:rsid w:val="00CB6F58"/>
    <w:rsid w:val="00CB7082"/>
    <w:rsid w:val="00CB726D"/>
    <w:rsid w:val="00CB7376"/>
    <w:rsid w:val="00CB743D"/>
    <w:rsid w:val="00CB7524"/>
    <w:rsid w:val="00CB75E3"/>
    <w:rsid w:val="00CB763A"/>
    <w:rsid w:val="00CB7A4C"/>
    <w:rsid w:val="00CB7A8C"/>
    <w:rsid w:val="00CB7BA3"/>
    <w:rsid w:val="00CB7CA4"/>
    <w:rsid w:val="00CB7DA7"/>
    <w:rsid w:val="00CB7DAE"/>
    <w:rsid w:val="00CB7E07"/>
    <w:rsid w:val="00CC00C0"/>
    <w:rsid w:val="00CC027D"/>
    <w:rsid w:val="00CC029D"/>
    <w:rsid w:val="00CC02E9"/>
    <w:rsid w:val="00CC03FC"/>
    <w:rsid w:val="00CC05DC"/>
    <w:rsid w:val="00CC0740"/>
    <w:rsid w:val="00CC0742"/>
    <w:rsid w:val="00CC09A0"/>
    <w:rsid w:val="00CC0B52"/>
    <w:rsid w:val="00CC0D7D"/>
    <w:rsid w:val="00CC0DE1"/>
    <w:rsid w:val="00CC0E28"/>
    <w:rsid w:val="00CC0FDC"/>
    <w:rsid w:val="00CC10D1"/>
    <w:rsid w:val="00CC1132"/>
    <w:rsid w:val="00CC12FD"/>
    <w:rsid w:val="00CC148A"/>
    <w:rsid w:val="00CC1594"/>
    <w:rsid w:val="00CC18B0"/>
    <w:rsid w:val="00CC19A7"/>
    <w:rsid w:val="00CC19F9"/>
    <w:rsid w:val="00CC1A0F"/>
    <w:rsid w:val="00CC1C5B"/>
    <w:rsid w:val="00CC1C64"/>
    <w:rsid w:val="00CC1CA0"/>
    <w:rsid w:val="00CC1D25"/>
    <w:rsid w:val="00CC1D27"/>
    <w:rsid w:val="00CC1D6D"/>
    <w:rsid w:val="00CC1F2E"/>
    <w:rsid w:val="00CC2032"/>
    <w:rsid w:val="00CC204E"/>
    <w:rsid w:val="00CC2141"/>
    <w:rsid w:val="00CC2362"/>
    <w:rsid w:val="00CC2414"/>
    <w:rsid w:val="00CC2424"/>
    <w:rsid w:val="00CC2509"/>
    <w:rsid w:val="00CC2533"/>
    <w:rsid w:val="00CC2A87"/>
    <w:rsid w:val="00CC2CA9"/>
    <w:rsid w:val="00CC2D1A"/>
    <w:rsid w:val="00CC3159"/>
    <w:rsid w:val="00CC3188"/>
    <w:rsid w:val="00CC3191"/>
    <w:rsid w:val="00CC3209"/>
    <w:rsid w:val="00CC3729"/>
    <w:rsid w:val="00CC3998"/>
    <w:rsid w:val="00CC3B72"/>
    <w:rsid w:val="00CC3CFB"/>
    <w:rsid w:val="00CC3DE5"/>
    <w:rsid w:val="00CC4096"/>
    <w:rsid w:val="00CC439B"/>
    <w:rsid w:val="00CC4407"/>
    <w:rsid w:val="00CC45AF"/>
    <w:rsid w:val="00CC45C2"/>
    <w:rsid w:val="00CC45C9"/>
    <w:rsid w:val="00CC45E5"/>
    <w:rsid w:val="00CC47FE"/>
    <w:rsid w:val="00CC4878"/>
    <w:rsid w:val="00CC4BAA"/>
    <w:rsid w:val="00CC4F66"/>
    <w:rsid w:val="00CC5333"/>
    <w:rsid w:val="00CC53AC"/>
    <w:rsid w:val="00CC54F0"/>
    <w:rsid w:val="00CC5525"/>
    <w:rsid w:val="00CC5602"/>
    <w:rsid w:val="00CC567D"/>
    <w:rsid w:val="00CC572B"/>
    <w:rsid w:val="00CC57BF"/>
    <w:rsid w:val="00CC5CB5"/>
    <w:rsid w:val="00CC5DC8"/>
    <w:rsid w:val="00CC5E3B"/>
    <w:rsid w:val="00CC5EEA"/>
    <w:rsid w:val="00CC5F77"/>
    <w:rsid w:val="00CC5F9E"/>
    <w:rsid w:val="00CC6000"/>
    <w:rsid w:val="00CC60A5"/>
    <w:rsid w:val="00CC6168"/>
    <w:rsid w:val="00CC6748"/>
    <w:rsid w:val="00CC67A3"/>
    <w:rsid w:val="00CC6B3D"/>
    <w:rsid w:val="00CC6BF4"/>
    <w:rsid w:val="00CC6CCA"/>
    <w:rsid w:val="00CC6E02"/>
    <w:rsid w:val="00CC6FFA"/>
    <w:rsid w:val="00CC72C7"/>
    <w:rsid w:val="00CC73B2"/>
    <w:rsid w:val="00CC749F"/>
    <w:rsid w:val="00CC75B5"/>
    <w:rsid w:val="00CC7831"/>
    <w:rsid w:val="00CC7C19"/>
    <w:rsid w:val="00CC7F0B"/>
    <w:rsid w:val="00CD0105"/>
    <w:rsid w:val="00CD0347"/>
    <w:rsid w:val="00CD0724"/>
    <w:rsid w:val="00CD09D1"/>
    <w:rsid w:val="00CD09E4"/>
    <w:rsid w:val="00CD0A04"/>
    <w:rsid w:val="00CD0FA0"/>
    <w:rsid w:val="00CD10D5"/>
    <w:rsid w:val="00CD10E2"/>
    <w:rsid w:val="00CD11FF"/>
    <w:rsid w:val="00CD13BC"/>
    <w:rsid w:val="00CD158E"/>
    <w:rsid w:val="00CD15A2"/>
    <w:rsid w:val="00CD15EC"/>
    <w:rsid w:val="00CD17DB"/>
    <w:rsid w:val="00CD1837"/>
    <w:rsid w:val="00CD1920"/>
    <w:rsid w:val="00CD19A7"/>
    <w:rsid w:val="00CD1BB4"/>
    <w:rsid w:val="00CD1D23"/>
    <w:rsid w:val="00CD1F9B"/>
    <w:rsid w:val="00CD21B4"/>
    <w:rsid w:val="00CD233A"/>
    <w:rsid w:val="00CD25EC"/>
    <w:rsid w:val="00CD2868"/>
    <w:rsid w:val="00CD2DD8"/>
    <w:rsid w:val="00CD3082"/>
    <w:rsid w:val="00CD30FA"/>
    <w:rsid w:val="00CD3275"/>
    <w:rsid w:val="00CD32CA"/>
    <w:rsid w:val="00CD3856"/>
    <w:rsid w:val="00CD388B"/>
    <w:rsid w:val="00CD38B2"/>
    <w:rsid w:val="00CD39CD"/>
    <w:rsid w:val="00CD3A30"/>
    <w:rsid w:val="00CD3D11"/>
    <w:rsid w:val="00CD3FA1"/>
    <w:rsid w:val="00CD405D"/>
    <w:rsid w:val="00CD47A1"/>
    <w:rsid w:val="00CD485D"/>
    <w:rsid w:val="00CD4AEF"/>
    <w:rsid w:val="00CD4C06"/>
    <w:rsid w:val="00CD4C75"/>
    <w:rsid w:val="00CD4D7C"/>
    <w:rsid w:val="00CD4F3D"/>
    <w:rsid w:val="00CD4F49"/>
    <w:rsid w:val="00CD5012"/>
    <w:rsid w:val="00CD550C"/>
    <w:rsid w:val="00CD5549"/>
    <w:rsid w:val="00CD56E0"/>
    <w:rsid w:val="00CD5734"/>
    <w:rsid w:val="00CD593B"/>
    <w:rsid w:val="00CD5BC6"/>
    <w:rsid w:val="00CD5C84"/>
    <w:rsid w:val="00CD6090"/>
    <w:rsid w:val="00CD60AF"/>
    <w:rsid w:val="00CD64B0"/>
    <w:rsid w:val="00CD67B8"/>
    <w:rsid w:val="00CD67C5"/>
    <w:rsid w:val="00CD6955"/>
    <w:rsid w:val="00CD69EF"/>
    <w:rsid w:val="00CD69FB"/>
    <w:rsid w:val="00CD6AB6"/>
    <w:rsid w:val="00CD7033"/>
    <w:rsid w:val="00CD71E1"/>
    <w:rsid w:val="00CD7311"/>
    <w:rsid w:val="00CD7333"/>
    <w:rsid w:val="00CD7437"/>
    <w:rsid w:val="00CD7676"/>
    <w:rsid w:val="00CD786F"/>
    <w:rsid w:val="00CD795F"/>
    <w:rsid w:val="00CD7A1B"/>
    <w:rsid w:val="00CD7A29"/>
    <w:rsid w:val="00CD7A58"/>
    <w:rsid w:val="00CD7B40"/>
    <w:rsid w:val="00CE0A85"/>
    <w:rsid w:val="00CE0BDE"/>
    <w:rsid w:val="00CE0C5F"/>
    <w:rsid w:val="00CE0F49"/>
    <w:rsid w:val="00CE0F60"/>
    <w:rsid w:val="00CE1083"/>
    <w:rsid w:val="00CE13C6"/>
    <w:rsid w:val="00CE13F9"/>
    <w:rsid w:val="00CE1408"/>
    <w:rsid w:val="00CE1413"/>
    <w:rsid w:val="00CE1418"/>
    <w:rsid w:val="00CE1474"/>
    <w:rsid w:val="00CE1488"/>
    <w:rsid w:val="00CE14BD"/>
    <w:rsid w:val="00CE160C"/>
    <w:rsid w:val="00CE1791"/>
    <w:rsid w:val="00CE1B2C"/>
    <w:rsid w:val="00CE1B4A"/>
    <w:rsid w:val="00CE1B56"/>
    <w:rsid w:val="00CE1F89"/>
    <w:rsid w:val="00CE20E1"/>
    <w:rsid w:val="00CE2126"/>
    <w:rsid w:val="00CE2654"/>
    <w:rsid w:val="00CE265B"/>
    <w:rsid w:val="00CE2695"/>
    <w:rsid w:val="00CE26B3"/>
    <w:rsid w:val="00CE273A"/>
    <w:rsid w:val="00CE2A20"/>
    <w:rsid w:val="00CE2C95"/>
    <w:rsid w:val="00CE2DB5"/>
    <w:rsid w:val="00CE2EB4"/>
    <w:rsid w:val="00CE300B"/>
    <w:rsid w:val="00CE305F"/>
    <w:rsid w:val="00CE330E"/>
    <w:rsid w:val="00CE3467"/>
    <w:rsid w:val="00CE3541"/>
    <w:rsid w:val="00CE3797"/>
    <w:rsid w:val="00CE3AF2"/>
    <w:rsid w:val="00CE3C3D"/>
    <w:rsid w:val="00CE3C40"/>
    <w:rsid w:val="00CE3E22"/>
    <w:rsid w:val="00CE3EA1"/>
    <w:rsid w:val="00CE3FA3"/>
    <w:rsid w:val="00CE4004"/>
    <w:rsid w:val="00CE4061"/>
    <w:rsid w:val="00CE418B"/>
    <w:rsid w:val="00CE4350"/>
    <w:rsid w:val="00CE4392"/>
    <w:rsid w:val="00CE43C7"/>
    <w:rsid w:val="00CE4418"/>
    <w:rsid w:val="00CE4509"/>
    <w:rsid w:val="00CE450E"/>
    <w:rsid w:val="00CE45DD"/>
    <w:rsid w:val="00CE4687"/>
    <w:rsid w:val="00CE469B"/>
    <w:rsid w:val="00CE46DF"/>
    <w:rsid w:val="00CE4A32"/>
    <w:rsid w:val="00CE4B28"/>
    <w:rsid w:val="00CE4B4A"/>
    <w:rsid w:val="00CE4BE9"/>
    <w:rsid w:val="00CE4C5C"/>
    <w:rsid w:val="00CE4FA7"/>
    <w:rsid w:val="00CE514D"/>
    <w:rsid w:val="00CE5189"/>
    <w:rsid w:val="00CE5322"/>
    <w:rsid w:val="00CE53B8"/>
    <w:rsid w:val="00CE553B"/>
    <w:rsid w:val="00CE5945"/>
    <w:rsid w:val="00CE5988"/>
    <w:rsid w:val="00CE5B67"/>
    <w:rsid w:val="00CE5D24"/>
    <w:rsid w:val="00CE5D3C"/>
    <w:rsid w:val="00CE60BA"/>
    <w:rsid w:val="00CE61F5"/>
    <w:rsid w:val="00CE632B"/>
    <w:rsid w:val="00CE63E3"/>
    <w:rsid w:val="00CE6422"/>
    <w:rsid w:val="00CE64DB"/>
    <w:rsid w:val="00CE6C7D"/>
    <w:rsid w:val="00CE6CC5"/>
    <w:rsid w:val="00CE6E7D"/>
    <w:rsid w:val="00CE6E88"/>
    <w:rsid w:val="00CE709D"/>
    <w:rsid w:val="00CE7119"/>
    <w:rsid w:val="00CE7143"/>
    <w:rsid w:val="00CE7397"/>
    <w:rsid w:val="00CE73A3"/>
    <w:rsid w:val="00CE748E"/>
    <w:rsid w:val="00CE75DD"/>
    <w:rsid w:val="00CE770B"/>
    <w:rsid w:val="00CE775A"/>
    <w:rsid w:val="00CE7906"/>
    <w:rsid w:val="00CE7A70"/>
    <w:rsid w:val="00CE7ED1"/>
    <w:rsid w:val="00CE7FED"/>
    <w:rsid w:val="00CF0020"/>
    <w:rsid w:val="00CF00F0"/>
    <w:rsid w:val="00CF021A"/>
    <w:rsid w:val="00CF0394"/>
    <w:rsid w:val="00CF0485"/>
    <w:rsid w:val="00CF0513"/>
    <w:rsid w:val="00CF0623"/>
    <w:rsid w:val="00CF079C"/>
    <w:rsid w:val="00CF0D0E"/>
    <w:rsid w:val="00CF0EC7"/>
    <w:rsid w:val="00CF0F55"/>
    <w:rsid w:val="00CF128D"/>
    <w:rsid w:val="00CF1373"/>
    <w:rsid w:val="00CF152E"/>
    <w:rsid w:val="00CF1552"/>
    <w:rsid w:val="00CF16A9"/>
    <w:rsid w:val="00CF1BE7"/>
    <w:rsid w:val="00CF1D7A"/>
    <w:rsid w:val="00CF1E6B"/>
    <w:rsid w:val="00CF219A"/>
    <w:rsid w:val="00CF222C"/>
    <w:rsid w:val="00CF223E"/>
    <w:rsid w:val="00CF22F5"/>
    <w:rsid w:val="00CF24CA"/>
    <w:rsid w:val="00CF2515"/>
    <w:rsid w:val="00CF2661"/>
    <w:rsid w:val="00CF26CB"/>
    <w:rsid w:val="00CF2809"/>
    <w:rsid w:val="00CF2A28"/>
    <w:rsid w:val="00CF2A36"/>
    <w:rsid w:val="00CF2BC6"/>
    <w:rsid w:val="00CF2EA0"/>
    <w:rsid w:val="00CF2EA6"/>
    <w:rsid w:val="00CF3158"/>
    <w:rsid w:val="00CF3338"/>
    <w:rsid w:val="00CF3358"/>
    <w:rsid w:val="00CF33A8"/>
    <w:rsid w:val="00CF356C"/>
    <w:rsid w:val="00CF38CB"/>
    <w:rsid w:val="00CF3918"/>
    <w:rsid w:val="00CF3964"/>
    <w:rsid w:val="00CF3DED"/>
    <w:rsid w:val="00CF3E58"/>
    <w:rsid w:val="00CF3F70"/>
    <w:rsid w:val="00CF3F78"/>
    <w:rsid w:val="00CF4360"/>
    <w:rsid w:val="00CF4368"/>
    <w:rsid w:val="00CF4649"/>
    <w:rsid w:val="00CF4765"/>
    <w:rsid w:val="00CF4806"/>
    <w:rsid w:val="00CF48DB"/>
    <w:rsid w:val="00CF4932"/>
    <w:rsid w:val="00CF4DB4"/>
    <w:rsid w:val="00CF4EA6"/>
    <w:rsid w:val="00CF4F76"/>
    <w:rsid w:val="00CF50D6"/>
    <w:rsid w:val="00CF517A"/>
    <w:rsid w:val="00CF51B3"/>
    <w:rsid w:val="00CF53D8"/>
    <w:rsid w:val="00CF54A4"/>
    <w:rsid w:val="00CF5571"/>
    <w:rsid w:val="00CF56D7"/>
    <w:rsid w:val="00CF5819"/>
    <w:rsid w:val="00CF5CE3"/>
    <w:rsid w:val="00CF5ED6"/>
    <w:rsid w:val="00CF6098"/>
    <w:rsid w:val="00CF64AD"/>
    <w:rsid w:val="00CF6784"/>
    <w:rsid w:val="00CF6A51"/>
    <w:rsid w:val="00CF6C87"/>
    <w:rsid w:val="00CF6CC8"/>
    <w:rsid w:val="00CF6D37"/>
    <w:rsid w:val="00CF6DF3"/>
    <w:rsid w:val="00CF7188"/>
    <w:rsid w:val="00CF729D"/>
    <w:rsid w:val="00CF7551"/>
    <w:rsid w:val="00CF766B"/>
    <w:rsid w:val="00CF7737"/>
    <w:rsid w:val="00CF7803"/>
    <w:rsid w:val="00CF783F"/>
    <w:rsid w:val="00CF7AEC"/>
    <w:rsid w:val="00CF7B33"/>
    <w:rsid w:val="00CF7ECA"/>
    <w:rsid w:val="00D00015"/>
    <w:rsid w:val="00D005FE"/>
    <w:rsid w:val="00D00638"/>
    <w:rsid w:val="00D006B5"/>
    <w:rsid w:val="00D00904"/>
    <w:rsid w:val="00D00C20"/>
    <w:rsid w:val="00D00C95"/>
    <w:rsid w:val="00D00D5C"/>
    <w:rsid w:val="00D00E70"/>
    <w:rsid w:val="00D00F29"/>
    <w:rsid w:val="00D0117F"/>
    <w:rsid w:val="00D01274"/>
    <w:rsid w:val="00D0131A"/>
    <w:rsid w:val="00D01326"/>
    <w:rsid w:val="00D01353"/>
    <w:rsid w:val="00D0145E"/>
    <w:rsid w:val="00D01561"/>
    <w:rsid w:val="00D015BA"/>
    <w:rsid w:val="00D01A46"/>
    <w:rsid w:val="00D01AF9"/>
    <w:rsid w:val="00D01B81"/>
    <w:rsid w:val="00D01C06"/>
    <w:rsid w:val="00D01F54"/>
    <w:rsid w:val="00D0210C"/>
    <w:rsid w:val="00D02203"/>
    <w:rsid w:val="00D0247B"/>
    <w:rsid w:val="00D0255F"/>
    <w:rsid w:val="00D02593"/>
    <w:rsid w:val="00D02634"/>
    <w:rsid w:val="00D027E3"/>
    <w:rsid w:val="00D02960"/>
    <w:rsid w:val="00D02B03"/>
    <w:rsid w:val="00D02C23"/>
    <w:rsid w:val="00D02CE6"/>
    <w:rsid w:val="00D02F03"/>
    <w:rsid w:val="00D0301F"/>
    <w:rsid w:val="00D0328B"/>
    <w:rsid w:val="00D03779"/>
    <w:rsid w:val="00D037C5"/>
    <w:rsid w:val="00D03C53"/>
    <w:rsid w:val="00D03C67"/>
    <w:rsid w:val="00D03E16"/>
    <w:rsid w:val="00D03E23"/>
    <w:rsid w:val="00D03E45"/>
    <w:rsid w:val="00D03ECB"/>
    <w:rsid w:val="00D04632"/>
    <w:rsid w:val="00D04693"/>
    <w:rsid w:val="00D04961"/>
    <w:rsid w:val="00D04B01"/>
    <w:rsid w:val="00D04B2D"/>
    <w:rsid w:val="00D04C39"/>
    <w:rsid w:val="00D04D6C"/>
    <w:rsid w:val="00D04D71"/>
    <w:rsid w:val="00D04D8A"/>
    <w:rsid w:val="00D04E21"/>
    <w:rsid w:val="00D04FD7"/>
    <w:rsid w:val="00D05005"/>
    <w:rsid w:val="00D050C7"/>
    <w:rsid w:val="00D05296"/>
    <w:rsid w:val="00D0530F"/>
    <w:rsid w:val="00D05695"/>
    <w:rsid w:val="00D056BE"/>
    <w:rsid w:val="00D058C5"/>
    <w:rsid w:val="00D059F2"/>
    <w:rsid w:val="00D05A77"/>
    <w:rsid w:val="00D05E2E"/>
    <w:rsid w:val="00D05F28"/>
    <w:rsid w:val="00D060B5"/>
    <w:rsid w:val="00D06350"/>
    <w:rsid w:val="00D06476"/>
    <w:rsid w:val="00D064CC"/>
    <w:rsid w:val="00D064F5"/>
    <w:rsid w:val="00D0654F"/>
    <w:rsid w:val="00D0667E"/>
    <w:rsid w:val="00D06DA8"/>
    <w:rsid w:val="00D06FBC"/>
    <w:rsid w:val="00D072AF"/>
    <w:rsid w:val="00D0735A"/>
    <w:rsid w:val="00D07381"/>
    <w:rsid w:val="00D074DD"/>
    <w:rsid w:val="00D07634"/>
    <w:rsid w:val="00D07988"/>
    <w:rsid w:val="00D07A1B"/>
    <w:rsid w:val="00D07A6E"/>
    <w:rsid w:val="00D07B06"/>
    <w:rsid w:val="00D07B0A"/>
    <w:rsid w:val="00D07C91"/>
    <w:rsid w:val="00D07CE0"/>
    <w:rsid w:val="00D07D35"/>
    <w:rsid w:val="00D07EA7"/>
    <w:rsid w:val="00D1000D"/>
    <w:rsid w:val="00D1011C"/>
    <w:rsid w:val="00D1011F"/>
    <w:rsid w:val="00D102D3"/>
    <w:rsid w:val="00D1034B"/>
    <w:rsid w:val="00D10382"/>
    <w:rsid w:val="00D10517"/>
    <w:rsid w:val="00D106F9"/>
    <w:rsid w:val="00D10873"/>
    <w:rsid w:val="00D10900"/>
    <w:rsid w:val="00D10939"/>
    <w:rsid w:val="00D10A3A"/>
    <w:rsid w:val="00D10C51"/>
    <w:rsid w:val="00D10DFE"/>
    <w:rsid w:val="00D10E63"/>
    <w:rsid w:val="00D11034"/>
    <w:rsid w:val="00D110AE"/>
    <w:rsid w:val="00D111A4"/>
    <w:rsid w:val="00D11249"/>
    <w:rsid w:val="00D11396"/>
    <w:rsid w:val="00D113ED"/>
    <w:rsid w:val="00D114AC"/>
    <w:rsid w:val="00D11615"/>
    <w:rsid w:val="00D117F8"/>
    <w:rsid w:val="00D11981"/>
    <w:rsid w:val="00D11A29"/>
    <w:rsid w:val="00D11CDD"/>
    <w:rsid w:val="00D12411"/>
    <w:rsid w:val="00D12437"/>
    <w:rsid w:val="00D12525"/>
    <w:rsid w:val="00D12631"/>
    <w:rsid w:val="00D126D2"/>
    <w:rsid w:val="00D12959"/>
    <w:rsid w:val="00D1295D"/>
    <w:rsid w:val="00D12AC2"/>
    <w:rsid w:val="00D12D80"/>
    <w:rsid w:val="00D12DC9"/>
    <w:rsid w:val="00D1312A"/>
    <w:rsid w:val="00D1375B"/>
    <w:rsid w:val="00D13769"/>
    <w:rsid w:val="00D1386B"/>
    <w:rsid w:val="00D138D1"/>
    <w:rsid w:val="00D13AA8"/>
    <w:rsid w:val="00D13FDF"/>
    <w:rsid w:val="00D144C7"/>
    <w:rsid w:val="00D14A2D"/>
    <w:rsid w:val="00D14BA2"/>
    <w:rsid w:val="00D14C3B"/>
    <w:rsid w:val="00D14CFA"/>
    <w:rsid w:val="00D14D56"/>
    <w:rsid w:val="00D14D9F"/>
    <w:rsid w:val="00D150D1"/>
    <w:rsid w:val="00D15128"/>
    <w:rsid w:val="00D15332"/>
    <w:rsid w:val="00D15724"/>
    <w:rsid w:val="00D15B5F"/>
    <w:rsid w:val="00D15BDB"/>
    <w:rsid w:val="00D15C8A"/>
    <w:rsid w:val="00D15DAB"/>
    <w:rsid w:val="00D15DF7"/>
    <w:rsid w:val="00D15E2D"/>
    <w:rsid w:val="00D15FE1"/>
    <w:rsid w:val="00D16039"/>
    <w:rsid w:val="00D161A7"/>
    <w:rsid w:val="00D163EC"/>
    <w:rsid w:val="00D16428"/>
    <w:rsid w:val="00D164C2"/>
    <w:rsid w:val="00D1674D"/>
    <w:rsid w:val="00D1695E"/>
    <w:rsid w:val="00D16BF8"/>
    <w:rsid w:val="00D16BF9"/>
    <w:rsid w:val="00D16D08"/>
    <w:rsid w:val="00D16FA0"/>
    <w:rsid w:val="00D170B7"/>
    <w:rsid w:val="00D172D8"/>
    <w:rsid w:val="00D17498"/>
    <w:rsid w:val="00D177D4"/>
    <w:rsid w:val="00D17ABF"/>
    <w:rsid w:val="00D17B81"/>
    <w:rsid w:val="00D17E8F"/>
    <w:rsid w:val="00D17F31"/>
    <w:rsid w:val="00D20023"/>
    <w:rsid w:val="00D2015B"/>
    <w:rsid w:val="00D20402"/>
    <w:rsid w:val="00D20475"/>
    <w:rsid w:val="00D20477"/>
    <w:rsid w:val="00D20537"/>
    <w:rsid w:val="00D206AE"/>
    <w:rsid w:val="00D2075D"/>
    <w:rsid w:val="00D2076D"/>
    <w:rsid w:val="00D20B7E"/>
    <w:rsid w:val="00D20E71"/>
    <w:rsid w:val="00D2100B"/>
    <w:rsid w:val="00D21012"/>
    <w:rsid w:val="00D2105C"/>
    <w:rsid w:val="00D213FE"/>
    <w:rsid w:val="00D21468"/>
    <w:rsid w:val="00D214A7"/>
    <w:rsid w:val="00D21661"/>
    <w:rsid w:val="00D21784"/>
    <w:rsid w:val="00D218E9"/>
    <w:rsid w:val="00D21AD0"/>
    <w:rsid w:val="00D21AF1"/>
    <w:rsid w:val="00D21D9A"/>
    <w:rsid w:val="00D220F8"/>
    <w:rsid w:val="00D22278"/>
    <w:rsid w:val="00D223D2"/>
    <w:rsid w:val="00D22710"/>
    <w:rsid w:val="00D22934"/>
    <w:rsid w:val="00D22966"/>
    <w:rsid w:val="00D229E5"/>
    <w:rsid w:val="00D22A21"/>
    <w:rsid w:val="00D22DD4"/>
    <w:rsid w:val="00D22E67"/>
    <w:rsid w:val="00D23048"/>
    <w:rsid w:val="00D230DE"/>
    <w:rsid w:val="00D234DF"/>
    <w:rsid w:val="00D2359E"/>
    <w:rsid w:val="00D23899"/>
    <w:rsid w:val="00D238AB"/>
    <w:rsid w:val="00D239AF"/>
    <w:rsid w:val="00D239F9"/>
    <w:rsid w:val="00D23C5F"/>
    <w:rsid w:val="00D23CAA"/>
    <w:rsid w:val="00D23DEC"/>
    <w:rsid w:val="00D23F03"/>
    <w:rsid w:val="00D23F60"/>
    <w:rsid w:val="00D23FC5"/>
    <w:rsid w:val="00D240FF"/>
    <w:rsid w:val="00D241B1"/>
    <w:rsid w:val="00D24475"/>
    <w:rsid w:val="00D244A6"/>
    <w:rsid w:val="00D2460E"/>
    <w:rsid w:val="00D246BB"/>
    <w:rsid w:val="00D2475D"/>
    <w:rsid w:val="00D24C55"/>
    <w:rsid w:val="00D24CB3"/>
    <w:rsid w:val="00D24CD1"/>
    <w:rsid w:val="00D250F2"/>
    <w:rsid w:val="00D251FF"/>
    <w:rsid w:val="00D25228"/>
    <w:rsid w:val="00D2531C"/>
    <w:rsid w:val="00D253A9"/>
    <w:rsid w:val="00D25434"/>
    <w:rsid w:val="00D25483"/>
    <w:rsid w:val="00D25B18"/>
    <w:rsid w:val="00D25DD5"/>
    <w:rsid w:val="00D25FAF"/>
    <w:rsid w:val="00D2600B"/>
    <w:rsid w:val="00D262F0"/>
    <w:rsid w:val="00D2639C"/>
    <w:rsid w:val="00D26401"/>
    <w:rsid w:val="00D264C8"/>
    <w:rsid w:val="00D26559"/>
    <w:rsid w:val="00D2656A"/>
    <w:rsid w:val="00D266B4"/>
    <w:rsid w:val="00D26821"/>
    <w:rsid w:val="00D26830"/>
    <w:rsid w:val="00D26B37"/>
    <w:rsid w:val="00D26C85"/>
    <w:rsid w:val="00D26CE0"/>
    <w:rsid w:val="00D26D7D"/>
    <w:rsid w:val="00D26FF1"/>
    <w:rsid w:val="00D27019"/>
    <w:rsid w:val="00D2708C"/>
    <w:rsid w:val="00D270FF"/>
    <w:rsid w:val="00D271C1"/>
    <w:rsid w:val="00D271E1"/>
    <w:rsid w:val="00D27258"/>
    <w:rsid w:val="00D272F2"/>
    <w:rsid w:val="00D272F8"/>
    <w:rsid w:val="00D275BB"/>
    <w:rsid w:val="00D276B4"/>
    <w:rsid w:val="00D27831"/>
    <w:rsid w:val="00D27A38"/>
    <w:rsid w:val="00D27B7B"/>
    <w:rsid w:val="00D27F03"/>
    <w:rsid w:val="00D300FF"/>
    <w:rsid w:val="00D304BF"/>
    <w:rsid w:val="00D30641"/>
    <w:rsid w:val="00D30787"/>
    <w:rsid w:val="00D30B41"/>
    <w:rsid w:val="00D30BD0"/>
    <w:rsid w:val="00D311CA"/>
    <w:rsid w:val="00D312BA"/>
    <w:rsid w:val="00D31328"/>
    <w:rsid w:val="00D31347"/>
    <w:rsid w:val="00D3135E"/>
    <w:rsid w:val="00D315C4"/>
    <w:rsid w:val="00D3177F"/>
    <w:rsid w:val="00D319B8"/>
    <w:rsid w:val="00D319F6"/>
    <w:rsid w:val="00D31DAA"/>
    <w:rsid w:val="00D31FF9"/>
    <w:rsid w:val="00D321A3"/>
    <w:rsid w:val="00D32494"/>
    <w:rsid w:val="00D325B2"/>
    <w:rsid w:val="00D3268A"/>
    <w:rsid w:val="00D326CC"/>
    <w:rsid w:val="00D32708"/>
    <w:rsid w:val="00D3279A"/>
    <w:rsid w:val="00D329F2"/>
    <w:rsid w:val="00D32A7E"/>
    <w:rsid w:val="00D32C25"/>
    <w:rsid w:val="00D32CCD"/>
    <w:rsid w:val="00D32DB2"/>
    <w:rsid w:val="00D32E58"/>
    <w:rsid w:val="00D32FDC"/>
    <w:rsid w:val="00D33590"/>
    <w:rsid w:val="00D33643"/>
    <w:rsid w:val="00D3386A"/>
    <w:rsid w:val="00D33ADF"/>
    <w:rsid w:val="00D33BB5"/>
    <w:rsid w:val="00D33F9D"/>
    <w:rsid w:val="00D3405E"/>
    <w:rsid w:val="00D34068"/>
    <w:rsid w:val="00D34082"/>
    <w:rsid w:val="00D340D1"/>
    <w:rsid w:val="00D3434F"/>
    <w:rsid w:val="00D3467B"/>
    <w:rsid w:val="00D346AA"/>
    <w:rsid w:val="00D34B2F"/>
    <w:rsid w:val="00D34FAE"/>
    <w:rsid w:val="00D34FE3"/>
    <w:rsid w:val="00D34FF6"/>
    <w:rsid w:val="00D35075"/>
    <w:rsid w:val="00D35287"/>
    <w:rsid w:val="00D35333"/>
    <w:rsid w:val="00D35632"/>
    <w:rsid w:val="00D35AD0"/>
    <w:rsid w:val="00D35B64"/>
    <w:rsid w:val="00D35CE4"/>
    <w:rsid w:val="00D35D80"/>
    <w:rsid w:val="00D35DAC"/>
    <w:rsid w:val="00D35EE6"/>
    <w:rsid w:val="00D35F0C"/>
    <w:rsid w:val="00D3614F"/>
    <w:rsid w:val="00D3616D"/>
    <w:rsid w:val="00D3619D"/>
    <w:rsid w:val="00D3628B"/>
    <w:rsid w:val="00D362BB"/>
    <w:rsid w:val="00D363D1"/>
    <w:rsid w:val="00D364BE"/>
    <w:rsid w:val="00D36657"/>
    <w:rsid w:val="00D366FE"/>
    <w:rsid w:val="00D368EC"/>
    <w:rsid w:val="00D36956"/>
    <w:rsid w:val="00D36B35"/>
    <w:rsid w:val="00D36B39"/>
    <w:rsid w:val="00D36C0A"/>
    <w:rsid w:val="00D36ED4"/>
    <w:rsid w:val="00D371CE"/>
    <w:rsid w:val="00D3727B"/>
    <w:rsid w:val="00D372E0"/>
    <w:rsid w:val="00D3734C"/>
    <w:rsid w:val="00D3761D"/>
    <w:rsid w:val="00D377D1"/>
    <w:rsid w:val="00D37858"/>
    <w:rsid w:val="00D378A6"/>
    <w:rsid w:val="00D379F8"/>
    <w:rsid w:val="00D37B32"/>
    <w:rsid w:val="00D37D78"/>
    <w:rsid w:val="00D37DE7"/>
    <w:rsid w:val="00D37E67"/>
    <w:rsid w:val="00D40051"/>
    <w:rsid w:val="00D404D8"/>
    <w:rsid w:val="00D40585"/>
    <w:rsid w:val="00D40923"/>
    <w:rsid w:val="00D40B0C"/>
    <w:rsid w:val="00D40DD1"/>
    <w:rsid w:val="00D410A8"/>
    <w:rsid w:val="00D41113"/>
    <w:rsid w:val="00D4120F"/>
    <w:rsid w:val="00D414D1"/>
    <w:rsid w:val="00D415FE"/>
    <w:rsid w:val="00D41685"/>
    <w:rsid w:val="00D41A3C"/>
    <w:rsid w:val="00D41F37"/>
    <w:rsid w:val="00D420AD"/>
    <w:rsid w:val="00D42383"/>
    <w:rsid w:val="00D42487"/>
    <w:rsid w:val="00D42835"/>
    <w:rsid w:val="00D4286C"/>
    <w:rsid w:val="00D42883"/>
    <w:rsid w:val="00D42CBC"/>
    <w:rsid w:val="00D42CC8"/>
    <w:rsid w:val="00D43689"/>
    <w:rsid w:val="00D4379A"/>
    <w:rsid w:val="00D43A11"/>
    <w:rsid w:val="00D43B30"/>
    <w:rsid w:val="00D43BB8"/>
    <w:rsid w:val="00D43D39"/>
    <w:rsid w:val="00D44017"/>
    <w:rsid w:val="00D440CA"/>
    <w:rsid w:val="00D44315"/>
    <w:rsid w:val="00D443AE"/>
    <w:rsid w:val="00D443D7"/>
    <w:rsid w:val="00D44685"/>
    <w:rsid w:val="00D448D1"/>
    <w:rsid w:val="00D448F4"/>
    <w:rsid w:val="00D449D9"/>
    <w:rsid w:val="00D44A3B"/>
    <w:rsid w:val="00D44BCE"/>
    <w:rsid w:val="00D44F74"/>
    <w:rsid w:val="00D45087"/>
    <w:rsid w:val="00D450B6"/>
    <w:rsid w:val="00D45361"/>
    <w:rsid w:val="00D45363"/>
    <w:rsid w:val="00D455CE"/>
    <w:rsid w:val="00D456DF"/>
    <w:rsid w:val="00D457B4"/>
    <w:rsid w:val="00D45A1B"/>
    <w:rsid w:val="00D45AA1"/>
    <w:rsid w:val="00D45D48"/>
    <w:rsid w:val="00D45D8A"/>
    <w:rsid w:val="00D46258"/>
    <w:rsid w:val="00D462F0"/>
    <w:rsid w:val="00D465C1"/>
    <w:rsid w:val="00D467D3"/>
    <w:rsid w:val="00D46AD9"/>
    <w:rsid w:val="00D46CAB"/>
    <w:rsid w:val="00D46ECD"/>
    <w:rsid w:val="00D470F0"/>
    <w:rsid w:val="00D47474"/>
    <w:rsid w:val="00D476DA"/>
    <w:rsid w:val="00D4774A"/>
    <w:rsid w:val="00D4775F"/>
    <w:rsid w:val="00D47767"/>
    <w:rsid w:val="00D47772"/>
    <w:rsid w:val="00D47849"/>
    <w:rsid w:val="00D4794B"/>
    <w:rsid w:val="00D479E7"/>
    <w:rsid w:val="00D47BAD"/>
    <w:rsid w:val="00D47C7E"/>
    <w:rsid w:val="00D47E78"/>
    <w:rsid w:val="00D47F3F"/>
    <w:rsid w:val="00D50012"/>
    <w:rsid w:val="00D50025"/>
    <w:rsid w:val="00D50027"/>
    <w:rsid w:val="00D5012E"/>
    <w:rsid w:val="00D50322"/>
    <w:rsid w:val="00D50436"/>
    <w:rsid w:val="00D5044D"/>
    <w:rsid w:val="00D5078B"/>
    <w:rsid w:val="00D50886"/>
    <w:rsid w:val="00D50906"/>
    <w:rsid w:val="00D509F5"/>
    <w:rsid w:val="00D50A35"/>
    <w:rsid w:val="00D50C59"/>
    <w:rsid w:val="00D50C94"/>
    <w:rsid w:val="00D50E61"/>
    <w:rsid w:val="00D50FCA"/>
    <w:rsid w:val="00D51048"/>
    <w:rsid w:val="00D51066"/>
    <w:rsid w:val="00D513EE"/>
    <w:rsid w:val="00D51460"/>
    <w:rsid w:val="00D51480"/>
    <w:rsid w:val="00D51550"/>
    <w:rsid w:val="00D51703"/>
    <w:rsid w:val="00D51786"/>
    <w:rsid w:val="00D51B2F"/>
    <w:rsid w:val="00D51B55"/>
    <w:rsid w:val="00D51C10"/>
    <w:rsid w:val="00D51CEB"/>
    <w:rsid w:val="00D51E7F"/>
    <w:rsid w:val="00D5202B"/>
    <w:rsid w:val="00D5217E"/>
    <w:rsid w:val="00D52182"/>
    <w:rsid w:val="00D522E7"/>
    <w:rsid w:val="00D52305"/>
    <w:rsid w:val="00D5241E"/>
    <w:rsid w:val="00D5286D"/>
    <w:rsid w:val="00D52956"/>
    <w:rsid w:val="00D52CA7"/>
    <w:rsid w:val="00D52D54"/>
    <w:rsid w:val="00D53174"/>
    <w:rsid w:val="00D53567"/>
    <w:rsid w:val="00D5383F"/>
    <w:rsid w:val="00D540D7"/>
    <w:rsid w:val="00D54371"/>
    <w:rsid w:val="00D54482"/>
    <w:rsid w:val="00D54C58"/>
    <w:rsid w:val="00D54CC9"/>
    <w:rsid w:val="00D54DE0"/>
    <w:rsid w:val="00D54DF9"/>
    <w:rsid w:val="00D54F30"/>
    <w:rsid w:val="00D5509D"/>
    <w:rsid w:val="00D550D0"/>
    <w:rsid w:val="00D550F8"/>
    <w:rsid w:val="00D55252"/>
    <w:rsid w:val="00D5547E"/>
    <w:rsid w:val="00D555CD"/>
    <w:rsid w:val="00D556BC"/>
    <w:rsid w:val="00D557F9"/>
    <w:rsid w:val="00D558F0"/>
    <w:rsid w:val="00D55A2F"/>
    <w:rsid w:val="00D55D36"/>
    <w:rsid w:val="00D55DEB"/>
    <w:rsid w:val="00D55F6F"/>
    <w:rsid w:val="00D561F7"/>
    <w:rsid w:val="00D5641B"/>
    <w:rsid w:val="00D56439"/>
    <w:rsid w:val="00D56555"/>
    <w:rsid w:val="00D565CD"/>
    <w:rsid w:val="00D56709"/>
    <w:rsid w:val="00D56737"/>
    <w:rsid w:val="00D56AE1"/>
    <w:rsid w:val="00D56DC9"/>
    <w:rsid w:val="00D56E26"/>
    <w:rsid w:val="00D57146"/>
    <w:rsid w:val="00D5714D"/>
    <w:rsid w:val="00D572FF"/>
    <w:rsid w:val="00D5746A"/>
    <w:rsid w:val="00D577CA"/>
    <w:rsid w:val="00D57819"/>
    <w:rsid w:val="00D57D76"/>
    <w:rsid w:val="00D57E93"/>
    <w:rsid w:val="00D600E1"/>
    <w:rsid w:val="00D60130"/>
    <w:rsid w:val="00D603BB"/>
    <w:rsid w:val="00D605B1"/>
    <w:rsid w:val="00D60AC2"/>
    <w:rsid w:val="00D60C45"/>
    <w:rsid w:val="00D60D77"/>
    <w:rsid w:val="00D60E6B"/>
    <w:rsid w:val="00D61195"/>
    <w:rsid w:val="00D61217"/>
    <w:rsid w:val="00D6129B"/>
    <w:rsid w:val="00D6151F"/>
    <w:rsid w:val="00D61644"/>
    <w:rsid w:val="00D61846"/>
    <w:rsid w:val="00D61921"/>
    <w:rsid w:val="00D61A01"/>
    <w:rsid w:val="00D61B4E"/>
    <w:rsid w:val="00D61C39"/>
    <w:rsid w:val="00D61C47"/>
    <w:rsid w:val="00D61C57"/>
    <w:rsid w:val="00D61DED"/>
    <w:rsid w:val="00D61FC8"/>
    <w:rsid w:val="00D62039"/>
    <w:rsid w:val="00D6218F"/>
    <w:rsid w:val="00D6225F"/>
    <w:rsid w:val="00D6226B"/>
    <w:rsid w:val="00D62287"/>
    <w:rsid w:val="00D622A6"/>
    <w:rsid w:val="00D623F5"/>
    <w:rsid w:val="00D6246B"/>
    <w:rsid w:val="00D627EC"/>
    <w:rsid w:val="00D62831"/>
    <w:rsid w:val="00D628DC"/>
    <w:rsid w:val="00D629C6"/>
    <w:rsid w:val="00D62D5E"/>
    <w:rsid w:val="00D62DEF"/>
    <w:rsid w:val="00D6301B"/>
    <w:rsid w:val="00D63124"/>
    <w:rsid w:val="00D6336A"/>
    <w:rsid w:val="00D633FE"/>
    <w:rsid w:val="00D6367B"/>
    <w:rsid w:val="00D638D1"/>
    <w:rsid w:val="00D63B3A"/>
    <w:rsid w:val="00D63B5A"/>
    <w:rsid w:val="00D63C66"/>
    <w:rsid w:val="00D6414C"/>
    <w:rsid w:val="00D6434B"/>
    <w:rsid w:val="00D64359"/>
    <w:rsid w:val="00D64510"/>
    <w:rsid w:val="00D64598"/>
    <w:rsid w:val="00D64A0A"/>
    <w:rsid w:val="00D64CEB"/>
    <w:rsid w:val="00D64D0F"/>
    <w:rsid w:val="00D652C6"/>
    <w:rsid w:val="00D6538B"/>
    <w:rsid w:val="00D65433"/>
    <w:rsid w:val="00D6556C"/>
    <w:rsid w:val="00D6570C"/>
    <w:rsid w:val="00D65756"/>
    <w:rsid w:val="00D65765"/>
    <w:rsid w:val="00D6597F"/>
    <w:rsid w:val="00D65B14"/>
    <w:rsid w:val="00D65DEB"/>
    <w:rsid w:val="00D65F7C"/>
    <w:rsid w:val="00D66027"/>
    <w:rsid w:val="00D66278"/>
    <w:rsid w:val="00D664D1"/>
    <w:rsid w:val="00D666BB"/>
    <w:rsid w:val="00D66737"/>
    <w:rsid w:val="00D668A0"/>
    <w:rsid w:val="00D6691A"/>
    <w:rsid w:val="00D66935"/>
    <w:rsid w:val="00D66AD1"/>
    <w:rsid w:val="00D66B75"/>
    <w:rsid w:val="00D66BAA"/>
    <w:rsid w:val="00D670D5"/>
    <w:rsid w:val="00D6732B"/>
    <w:rsid w:val="00D674B9"/>
    <w:rsid w:val="00D676C1"/>
    <w:rsid w:val="00D67BD0"/>
    <w:rsid w:val="00D67D3A"/>
    <w:rsid w:val="00D67E40"/>
    <w:rsid w:val="00D67F34"/>
    <w:rsid w:val="00D67F52"/>
    <w:rsid w:val="00D7005B"/>
    <w:rsid w:val="00D70063"/>
    <w:rsid w:val="00D701CE"/>
    <w:rsid w:val="00D70283"/>
    <w:rsid w:val="00D702B5"/>
    <w:rsid w:val="00D7047A"/>
    <w:rsid w:val="00D705CF"/>
    <w:rsid w:val="00D7098A"/>
    <w:rsid w:val="00D70EE6"/>
    <w:rsid w:val="00D71001"/>
    <w:rsid w:val="00D7115D"/>
    <w:rsid w:val="00D7132D"/>
    <w:rsid w:val="00D717C5"/>
    <w:rsid w:val="00D71C80"/>
    <w:rsid w:val="00D71E2E"/>
    <w:rsid w:val="00D71EA4"/>
    <w:rsid w:val="00D72073"/>
    <w:rsid w:val="00D720D1"/>
    <w:rsid w:val="00D7214C"/>
    <w:rsid w:val="00D7249F"/>
    <w:rsid w:val="00D7256E"/>
    <w:rsid w:val="00D725DF"/>
    <w:rsid w:val="00D725EA"/>
    <w:rsid w:val="00D726BF"/>
    <w:rsid w:val="00D7293F"/>
    <w:rsid w:val="00D7298B"/>
    <w:rsid w:val="00D729BF"/>
    <w:rsid w:val="00D72A91"/>
    <w:rsid w:val="00D72CCB"/>
    <w:rsid w:val="00D72CFC"/>
    <w:rsid w:val="00D731D1"/>
    <w:rsid w:val="00D731EA"/>
    <w:rsid w:val="00D738F4"/>
    <w:rsid w:val="00D73D7C"/>
    <w:rsid w:val="00D73E11"/>
    <w:rsid w:val="00D73EC5"/>
    <w:rsid w:val="00D74144"/>
    <w:rsid w:val="00D742AF"/>
    <w:rsid w:val="00D742E8"/>
    <w:rsid w:val="00D74349"/>
    <w:rsid w:val="00D7436A"/>
    <w:rsid w:val="00D744DD"/>
    <w:rsid w:val="00D7453C"/>
    <w:rsid w:val="00D74556"/>
    <w:rsid w:val="00D74792"/>
    <w:rsid w:val="00D7485C"/>
    <w:rsid w:val="00D748C0"/>
    <w:rsid w:val="00D74962"/>
    <w:rsid w:val="00D752C6"/>
    <w:rsid w:val="00D75714"/>
    <w:rsid w:val="00D758FF"/>
    <w:rsid w:val="00D75B45"/>
    <w:rsid w:val="00D75B8C"/>
    <w:rsid w:val="00D75E92"/>
    <w:rsid w:val="00D75FBE"/>
    <w:rsid w:val="00D7618E"/>
    <w:rsid w:val="00D7619E"/>
    <w:rsid w:val="00D7632A"/>
    <w:rsid w:val="00D763AA"/>
    <w:rsid w:val="00D766F6"/>
    <w:rsid w:val="00D76858"/>
    <w:rsid w:val="00D76908"/>
    <w:rsid w:val="00D7692B"/>
    <w:rsid w:val="00D769D1"/>
    <w:rsid w:val="00D76A83"/>
    <w:rsid w:val="00D76ACA"/>
    <w:rsid w:val="00D76E27"/>
    <w:rsid w:val="00D76EFA"/>
    <w:rsid w:val="00D76F1C"/>
    <w:rsid w:val="00D76F3F"/>
    <w:rsid w:val="00D76F6C"/>
    <w:rsid w:val="00D770F0"/>
    <w:rsid w:val="00D7724D"/>
    <w:rsid w:val="00D77331"/>
    <w:rsid w:val="00D77711"/>
    <w:rsid w:val="00D777AC"/>
    <w:rsid w:val="00D77A09"/>
    <w:rsid w:val="00D801AA"/>
    <w:rsid w:val="00D801CE"/>
    <w:rsid w:val="00D802DC"/>
    <w:rsid w:val="00D80314"/>
    <w:rsid w:val="00D804A6"/>
    <w:rsid w:val="00D80626"/>
    <w:rsid w:val="00D80B9F"/>
    <w:rsid w:val="00D80C57"/>
    <w:rsid w:val="00D80D8C"/>
    <w:rsid w:val="00D81188"/>
    <w:rsid w:val="00D811AF"/>
    <w:rsid w:val="00D811D4"/>
    <w:rsid w:val="00D8140E"/>
    <w:rsid w:val="00D81540"/>
    <w:rsid w:val="00D81658"/>
    <w:rsid w:val="00D81798"/>
    <w:rsid w:val="00D817BE"/>
    <w:rsid w:val="00D81887"/>
    <w:rsid w:val="00D81AA5"/>
    <w:rsid w:val="00D81B4C"/>
    <w:rsid w:val="00D81B8E"/>
    <w:rsid w:val="00D81C20"/>
    <w:rsid w:val="00D81C8B"/>
    <w:rsid w:val="00D81D13"/>
    <w:rsid w:val="00D81ED0"/>
    <w:rsid w:val="00D82002"/>
    <w:rsid w:val="00D82285"/>
    <w:rsid w:val="00D82359"/>
    <w:rsid w:val="00D82563"/>
    <w:rsid w:val="00D825E9"/>
    <w:rsid w:val="00D82697"/>
    <w:rsid w:val="00D826BB"/>
    <w:rsid w:val="00D8270D"/>
    <w:rsid w:val="00D82924"/>
    <w:rsid w:val="00D829A2"/>
    <w:rsid w:val="00D829A3"/>
    <w:rsid w:val="00D829DE"/>
    <w:rsid w:val="00D829FE"/>
    <w:rsid w:val="00D82A2D"/>
    <w:rsid w:val="00D82F5A"/>
    <w:rsid w:val="00D8328B"/>
    <w:rsid w:val="00D8336E"/>
    <w:rsid w:val="00D83418"/>
    <w:rsid w:val="00D8376C"/>
    <w:rsid w:val="00D83A14"/>
    <w:rsid w:val="00D83F49"/>
    <w:rsid w:val="00D84066"/>
    <w:rsid w:val="00D8429B"/>
    <w:rsid w:val="00D843C9"/>
    <w:rsid w:val="00D844D5"/>
    <w:rsid w:val="00D84506"/>
    <w:rsid w:val="00D84510"/>
    <w:rsid w:val="00D84658"/>
    <w:rsid w:val="00D84A4E"/>
    <w:rsid w:val="00D84B01"/>
    <w:rsid w:val="00D84B62"/>
    <w:rsid w:val="00D84DED"/>
    <w:rsid w:val="00D850CA"/>
    <w:rsid w:val="00D850DD"/>
    <w:rsid w:val="00D85123"/>
    <w:rsid w:val="00D8518F"/>
    <w:rsid w:val="00D852CE"/>
    <w:rsid w:val="00D854EE"/>
    <w:rsid w:val="00D856DD"/>
    <w:rsid w:val="00D85745"/>
    <w:rsid w:val="00D85783"/>
    <w:rsid w:val="00D85994"/>
    <w:rsid w:val="00D85AE2"/>
    <w:rsid w:val="00D85B3E"/>
    <w:rsid w:val="00D85BF8"/>
    <w:rsid w:val="00D85F72"/>
    <w:rsid w:val="00D86262"/>
    <w:rsid w:val="00D8649B"/>
    <w:rsid w:val="00D8660F"/>
    <w:rsid w:val="00D868FA"/>
    <w:rsid w:val="00D869DD"/>
    <w:rsid w:val="00D86B50"/>
    <w:rsid w:val="00D86DE8"/>
    <w:rsid w:val="00D86E6D"/>
    <w:rsid w:val="00D86F5C"/>
    <w:rsid w:val="00D87052"/>
    <w:rsid w:val="00D87431"/>
    <w:rsid w:val="00D87494"/>
    <w:rsid w:val="00D87A1F"/>
    <w:rsid w:val="00D87BB2"/>
    <w:rsid w:val="00D90078"/>
    <w:rsid w:val="00D900CB"/>
    <w:rsid w:val="00D903C5"/>
    <w:rsid w:val="00D9089A"/>
    <w:rsid w:val="00D908E0"/>
    <w:rsid w:val="00D90A67"/>
    <w:rsid w:val="00D90A7C"/>
    <w:rsid w:val="00D90B46"/>
    <w:rsid w:val="00D90C96"/>
    <w:rsid w:val="00D91066"/>
    <w:rsid w:val="00D9140E"/>
    <w:rsid w:val="00D9143F"/>
    <w:rsid w:val="00D91726"/>
    <w:rsid w:val="00D91822"/>
    <w:rsid w:val="00D91881"/>
    <w:rsid w:val="00D9237D"/>
    <w:rsid w:val="00D924C5"/>
    <w:rsid w:val="00D92710"/>
    <w:rsid w:val="00D927EF"/>
    <w:rsid w:val="00D92AD6"/>
    <w:rsid w:val="00D92BF2"/>
    <w:rsid w:val="00D92C3C"/>
    <w:rsid w:val="00D92C81"/>
    <w:rsid w:val="00D92CFD"/>
    <w:rsid w:val="00D92D4D"/>
    <w:rsid w:val="00D92E24"/>
    <w:rsid w:val="00D92F58"/>
    <w:rsid w:val="00D93016"/>
    <w:rsid w:val="00D932A7"/>
    <w:rsid w:val="00D93318"/>
    <w:rsid w:val="00D93597"/>
    <w:rsid w:val="00D936F4"/>
    <w:rsid w:val="00D93706"/>
    <w:rsid w:val="00D9381D"/>
    <w:rsid w:val="00D93948"/>
    <w:rsid w:val="00D93993"/>
    <w:rsid w:val="00D939B1"/>
    <w:rsid w:val="00D93ACE"/>
    <w:rsid w:val="00D93B91"/>
    <w:rsid w:val="00D93BD7"/>
    <w:rsid w:val="00D93E78"/>
    <w:rsid w:val="00D94311"/>
    <w:rsid w:val="00D94317"/>
    <w:rsid w:val="00D9438C"/>
    <w:rsid w:val="00D945AE"/>
    <w:rsid w:val="00D94609"/>
    <w:rsid w:val="00D94622"/>
    <w:rsid w:val="00D94C36"/>
    <w:rsid w:val="00D94CF1"/>
    <w:rsid w:val="00D951BC"/>
    <w:rsid w:val="00D952DD"/>
    <w:rsid w:val="00D95398"/>
    <w:rsid w:val="00D954EF"/>
    <w:rsid w:val="00D95528"/>
    <w:rsid w:val="00D955F7"/>
    <w:rsid w:val="00D95667"/>
    <w:rsid w:val="00D95732"/>
    <w:rsid w:val="00D957A8"/>
    <w:rsid w:val="00D95801"/>
    <w:rsid w:val="00D9595E"/>
    <w:rsid w:val="00D95A34"/>
    <w:rsid w:val="00D95B4C"/>
    <w:rsid w:val="00D95CC8"/>
    <w:rsid w:val="00D95DCC"/>
    <w:rsid w:val="00D96019"/>
    <w:rsid w:val="00D96251"/>
    <w:rsid w:val="00D96257"/>
    <w:rsid w:val="00D96284"/>
    <w:rsid w:val="00D963FE"/>
    <w:rsid w:val="00D96439"/>
    <w:rsid w:val="00D96506"/>
    <w:rsid w:val="00D9677E"/>
    <w:rsid w:val="00D96839"/>
    <w:rsid w:val="00D96A49"/>
    <w:rsid w:val="00D96D43"/>
    <w:rsid w:val="00D96D91"/>
    <w:rsid w:val="00D96ECD"/>
    <w:rsid w:val="00D972B6"/>
    <w:rsid w:val="00D97307"/>
    <w:rsid w:val="00D973ED"/>
    <w:rsid w:val="00D9762B"/>
    <w:rsid w:val="00D976FD"/>
    <w:rsid w:val="00D97777"/>
    <w:rsid w:val="00D9778A"/>
    <w:rsid w:val="00D97DB5"/>
    <w:rsid w:val="00DA00A0"/>
    <w:rsid w:val="00DA01B5"/>
    <w:rsid w:val="00DA021C"/>
    <w:rsid w:val="00DA0302"/>
    <w:rsid w:val="00DA0367"/>
    <w:rsid w:val="00DA052A"/>
    <w:rsid w:val="00DA0585"/>
    <w:rsid w:val="00DA0648"/>
    <w:rsid w:val="00DA0745"/>
    <w:rsid w:val="00DA081C"/>
    <w:rsid w:val="00DA0AE2"/>
    <w:rsid w:val="00DA0B66"/>
    <w:rsid w:val="00DA0FC5"/>
    <w:rsid w:val="00DA1020"/>
    <w:rsid w:val="00DA1067"/>
    <w:rsid w:val="00DA114E"/>
    <w:rsid w:val="00DA13F1"/>
    <w:rsid w:val="00DA149B"/>
    <w:rsid w:val="00DA1536"/>
    <w:rsid w:val="00DA15C2"/>
    <w:rsid w:val="00DA1784"/>
    <w:rsid w:val="00DA1A26"/>
    <w:rsid w:val="00DA1B86"/>
    <w:rsid w:val="00DA1D02"/>
    <w:rsid w:val="00DA1F1C"/>
    <w:rsid w:val="00DA2002"/>
    <w:rsid w:val="00DA215D"/>
    <w:rsid w:val="00DA2237"/>
    <w:rsid w:val="00DA2334"/>
    <w:rsid w:val="00DA2470"/>
    <w:rsid w:val="00DA2762"/>
    <w:rsid w:val="00DA2871"/>
    <w:rsid w:val="00DA2B09"/>
    <w:rsid w:val="00DA2DB1"/>
    <w:rsid w:val="00DA3259"/>
    <w:rsid w:val="00DA3328"/>
    <w:rsid w:val="00DA3634"/>
    <w:rsid w:val="00DA3883"/>
    <w:rsid w:val="00DA3AF6"/>
    <w:rsid w:val="00DA3BCA"/>
    <w:rsid w:val="00DA3CB8"/>
    <w:rsid w:val="00DA3E98"/>
    <w:rsid w:val="00DA4255"/>
    <w:rsid w:val="00DA4663"/>
    <w:rsid w:val="00DA467A"/>
    <w:rsid w:val="00DA4893"/>
    <w:rsid w:val="00DA48CB"/>
    <w:rsid w:val="00DA4A77"/>
    <w:rsid w:val="00DA4B29"/>
    <w:rsid w:val="00DA4CBE"/>
    <w:rsid w:val="00DA4D71"/>
    <w:rsid w:val="00DA510D"/>
    <w:rsid w:val="00DA5345"/>
    <w:rsid w:val="00DA546D"/>
    <w:rsid w:val="00DA5510"/>
    <w:rsid w:val="00DA5537"/>
    <w:rsid w:val="00DA55C9"/>
    <w:rsid w:val="00DA5771"/>
    <w:rsid w:val="00DA57A3"/>
    <w:rsid w:val="00DA5985"/>
    <w:rsid w:val="00DA5E72"/>
    <w:rsid w:val="00DA5EF9"/>
    <w:rsid w:val="00DA5F98"/>
    <w:rsid w:val="00DA600F"/>
    <w:rsid w:val="00DA60F2"/>
    <w:rsid w:val="00DA61DB"/>
    <w:rsid w:val="00DA6384"/>
    <w:rsid w:val="00DA6459"/>
    <w:rsid w:val="00DA6648"/>
    <w:rsid w:val="00DA67F6"/>
    <w:rsid w:val="00DA683C"/>
    <w:rsid w:val="00DA6B79"/>
    <w:rsid w:val="00DA6D1A"/>
    <w:rsid w:val="00DA7057"/>
    <w:rsid w:val="00DA722F"/>
    <w:rsid w:val="00DA7387"/>
    <w:rsid w:val="00DA73E3"/>
    <w:rsid w:val="00DA73F9"/>
    <w:rsid w:val="00DA74BD"/>
    <w:rsid w:val="00DA75FA"/>
    <w:rsid w:val="00DA76F1"/>
    <w:rsid w:val="00DA7712"/>
    <w:rsid w:val="00DA7774"/>
    <w:rsid w:val="00DA79A6"/>
    <w:rsid w:val="00DA7AAA"/>
    <w:rsid w:val="00DA7C52"/>
    <w:rsid w:val="00DA7E56"/>
    <w:rsid w:val="00DB006D"/>
    <w:rsid w:val="00DB03DA"/>
    <w:rsid w:val="00DB0429"/>
    <w:rsid w:val="00DB05F4"/>
    <w:rsid w:val="00DB070C"/>
    <w:rsid w:val="00DB088D"/>
    <w:rsid w:val="00DB093D"/>
    <w:rsid w:val="00DB0BAD"/>
    <w:rsid w:val="00DB0BF8"/>
    <w:rsid w:val="00DB0C9C"/>
    <w:rsid w:val="00DB0D12"/>
    <w:rsid w:val="00DB0F9C"/>
    <w:rsid w:val="00DB1100"/>
    <w:rsid w:val="00DB15E4"/>
    <w:rsid w:val="00DB1702"/>
    <w:rsid w:val="00DB1808"/>
    <w:rsid w:val="00DB1986"/>
    <w:rsid w:val="00DB19F5"/>
    <w:rsid w:val="00DB1A3B"/>
    <w:rsid w:val="00DB1AC9"/>
    <w:rsid w:val="00DB1EF6"/>
    <w:rsid w:val="00DB1FB0"/>
    <w:rsid w:val="00DB2615"/>
    <w:rsid w:val="00DB26DA"/>
    <w:rsid w:val="00DB291F"/>
    <w:rsid w:val="00DB292F"/>
    <w:rsid w:val="00DB2A7A"/>
    <w:rsid w:val="00DB2E21"/>
    <w:rsid w:val="00DB2F2E"/>
    <w:rsid w:val="00DB31D4"/>
    <w:rsid w:val="00DB32DE"/>
    <w:rsid w:val="00DB3324"/>
    <w:rsid w:val="00DB3676"/>
    <w:rsid w:val="00DB36F8"/>
    <w:rsid w:val="00DB3791"/>
    <w:rsid w:val="00DB380D"/>
    <w:rsid w:val="00DB3AEB"/>
    <w:rsid w:val="00DB3B36"/>
    <w:rsid w:val="00DB3FCC"/>
    <w:rsid w:val="00DB41BA"/>
    <w:rsid w:val="00DB425C"/>
    <w:rsid w:val="00DB4299"/>
    <w:rsid w:val="00DB42FB"/>
    <w:rsid w:val="00DB440F"/>
    <w:rsid w:val="00DB46FF"/>
    <w:rsid w:val="00DB47DF"/>
    <w:rsid w:val="00DB482C"/>
    <w:rsid w:val="00DB498D"/>
    <w:rsid w:val="00DB4E4E"/>
    <w:rsid w:val="00DB4F16"/>
    <w:rsid w:val="00DB4FA1"/>
    <w:rsid w:val="00DB4FEB"/>
    <w:rsid w:val="00DB511D"/>
    <w:rsid w:val="00DB5743"/>
    <w:rsid w:val="00DB588F"/>
    <w:rsid w:val="00DB593B"/>
    <w:rsid w:val="00DB5B66"/>
    <w:rsid w:val="00DB5C06"/>
    <w:rsid w:val="00DB5DAD"/>
    <w:rsid w:val="00DB6010"/>
    <w:rsid w:val="00DB6011"/>
    <w:rsid w:val="00DB61F3"/>
    <w:rsid w:val="00DB62B8"/>
    <w:rsid w:val="00DB6713"/>
    <w:rsid w:val="00DB67B0"/>
    <w:rsid w:val="00DB6A08"/>
    <w:rsid w:val="00DB6CCE"/>
    <w:rsid w:val="00DB6CD4"/>
    <w:rsid w:val="00DB6CD8"/>
    <w:rsid w:val="00DB6F26"/>
    <w:rsid w:val="00DB6F3E"/>
    <w:rsid w:val="00DB7193"/>
    <w:rsid w:val="00DB7554"/>
    <w:rsid w:val="00DB78A3"/>
    <w:rsid w:val="00DB7B3E"/>
    <w:rsid w:val="00DB7DC1"/>
    <w:rsid w:val="00DB7E8D"/>
    <w:rsid w:val="00DC0032"/>
    <w:rsid w:val="00DC01A6"/>
    <w:rsid w:val="00DC0212"/>
    <w:rsid w:val="00DC036A"/>
    <w:rsid w:val="00DC0372"/>
    <w:rsid w:val="00DC0742"/>
    <w:rsid w:val="00DC0B65"/>
    <w:rsid w:val="00DC0D0B"/>
    <w:rsid w:val="00DC0F36"/>
    <w:rsid w:val="00DC1293"/>
    <w:rsid w:val="00DC12D9"/>
    <w:rsid w:val="00DC12DC"/>
    <w:rsid w:val="00DC13E8"/>
    <w:rsid w:val="00DC14E0"/>
    <w:rsid w:val="00DC1932"/>
    <w:rsid w:val="00DC1A5B"/>
    <w:rsid w:val="00DC1BCD"/>
    <w:rsid w:val="00DC1F2F"/>
    <w:rsid w:val="00DC2661"/>
    <w:rsid w:val="00DC2927"/>
    <w:rsid w:val="00DC2ABF"/>
    <w:rsid w:val="00DC2D35"/>
    <w:rsid w:val="00DC2D9C"/>
    <w:rsid w:val="00DC2FE5"/>
    <w:rsid w:val="00DC3012"/>
    <w:rsid w:val="00DC3183"/>
    <w:rsid w:val="00DC3287"/>
    <w:rsid w:val="00DC3293"/>
    <w:rsid w:val="00DC32C9"/>
    <w:rsid w:val="00DC32F1"/>
    <w:rsid w:val="00DC34F3"/>
    <w:rsid w:val="00DC352C"/>
    <w:rsid w:val="00DC35DD"/>
    <w:rsid w:val="00DC36D5"/>
    <w:rsid w:val="00DC36E6"/>
    <w:rsid w:val="00DC37A7"/>
    <w:rsid w:val="00DC37AD"/>
    <w:rsid w:val="00DC3851"/>
    <w:rsid w:val="00DC38B8"/>
    <w:rsid w:val="00DC39C8"/>
    <w:rsid w:val="00DC3D45"/>
    <w:rsid w:val="00DC40A2"/>
    <w:rsid w:val="00DC4165"/>
    <w:rsid w:val="00DC436E"/>
    <w:rsid w:val="00DC44A0"/>
    <w:rsid w:val="00DC478C"/>
    <w:rsid w:val="00DC4B4F"/>
    <w:rsid w:val="00DC4D96"/>
    <w:rsid w:val="00DC4E68"/>
    <w:rsid w:val="00DC4F64"/>
    <w:rsid w:val="00DC4FA5"/>
    <w:rsid w:val="00DC5298"/>
    <w:rsid w:val="00DC54EA"/>
    <w:rsid w:val="00DC5639"/>
    <w:rsid w:val="00DC5755"/>
    <w:rsid w:val="00DC5883"/>
    <w:rsid w:val="00DC5BE6"/>
    <w:rsid w:val="00DC6034"/>
    <w:rsid w:val="00DC61A2"/>
    <w:rsid w:val="00DC62E6"/>
    <w:rsid w:val="00DC6631"/>
    <w:rsid w:val="00DC673C"/>
    <w:rsid w:val="00DC674F"/>
    <w:rsid w:val="00DC6769"/>
    <w:rsid w:val="00DC67B6"/>
    <w:rsid w:val="00DC67C7"/>
    <w:rsid w:val="00DC6D3C"/>
    <w:rsid w:val="00DC6DC1"/>
    <w:rsid w:val="00DC6DFD"/>
    <w:rsid w:val="00DC6E98"/>
    <w:rsid w:val="00DC6FB7"/>
    <w:rsid w:val="00DC70B7"/>
    <w:rsid w:val="00DC72FE"/>
    <w:rsid w:val="00DC7715"/>
    <w:rsid w:val="00DC793C"/>
    <w:rsid w:val="00DC7A87"/>
    <w:rsid w:val="00DC7C08"/>
    <w:rsid w:val="00DC7D02"/>
    <w:rsid w:val="00DC7EA5"/>
    <w:rsid w:val="00DC7EFC"/>
    <w:rsid w:val="00DC7F23"/>
    <w:rsid w:val="00DD01B5"/>
    <w:rsid w:val="00DD06D4"/>
    <w:rsid w:val="00DD0711"/>
    <w:rsid w:val="00DD0A0A"/>
    <w:rsid w:val="00DD0CA6"/>
    <w:rsid w:val="00DD0E1E"/>
    <w:rsid w:val="00DD0F27"/>
    <w:rsid w:val="00DD106B"/>
    <w:rsid w:val="00DD119E"/>
    <w:rsid w:val="00DD1501"/>
    <w:rsid w:val="00DD1616"/>
    <w:rsid w:val="00DD170B"/>
    <w:rsid w:val="00DD18CC"/>
    <w:rsid w:val="00DD1948"/>
    <w:rsid w:val="00DD194D"/>
    <w:rsid w:val="00DD19AB"/>
    <w:rsid w:val="00DD1A52"/>
    <w:rsid w:val="00DD1CC9"/>
    <w:rsid w:val="00DD1D8F"/>
    <w:rsid w:val="00DD1FA7"/>
    <w:rsid w:val="00DD203E"/>
    <w:rsid w:val="00DD21BB"/>
    <w:rsid w:val="00DD220D"/>
    <w:rsid w:val="00DD220F"/>
    <w:rsid w:val="00DD2241"/>
    <w:rsid w:val="00DD2261"/>
    <w:rsid w:val="00DD2314"/>
    <w:rsid w:val="00DD27E4"/>
    <w:rsid w:val="00DD2BBD"/>
    <w:rsid w:val="00DD2BC3"/>
    <w:rsid w:val="00DD2E48"/>
    <w:rsid w:val="00DD2EE4"/>
    <w:rsid w:val="00DD303F"/>
    <w:rsid w:val="00DD3179"/>
    <w:rsid w:val="00DD3208"/>
    <w:rsid w:val="00DD32F4"/>
    <w:rsid w:val="00DD33E4"/>
    <w:rsid w:val="00DD3450"/>
    <w:rsid w:val="00DD37EC"/>
    <w:rsid w:val="00DD38A9"/>
    <w:rsid w:val="00DD3921"/>
    <w:rsid w:val="00DD3A8F"/>
    <w:rsid w:val="00DD3A90"/>
    <w:rsid w:val="00DD3B47"/>
    <w:rsid w:val="00DD3D79"/>
    <w:rsid w:val="00DD3E98"/>
    <w:rsid w:val="00DD4195"/>
    <w:rsid w:val="00DD4329"/>
    <w:rsid w:val="00DD4448"/>
    <w:rsid w:val="00DD4705"/>
    <w:rsid w:val="00DD488F"/>
    <w:rsid w:val="00DD48D5"/>
    <w:rsid w:val="00DD49F2"/>
    <w:rsid w:val="00DD4B77"/>
    <w:rsid w:val="00DD4E2C"/>
    <w:rsid w:val="00DD4EE3"/>
    <w:rsid w:val="00DD4F97"/>
    <w:rsid w:val="00DD5494"/>
    <w:rsid w:val="00DD54D8"/>
    <w:rsid w:val="00DD5556"/>
    <w:rsid w:val="00DD55E9"/>
    <w:rsid w:val="00DD5FEE"/>
    <w:rsid w:val="00DD6001"/>
    <w:rsid w:val="00DD601D"/>
    <w:rsid w:val="00DD60E2"/>
    <w:rsid w:val="00DD62D2"/>
    <w:rsid w:val="00DD6480"/>
    <w:rsid w:val="00DD64D2"/>
    <w:rsid w:val="00DD6738"/>
    <w:rsid w:val="00DD69FF"/>
    <w:rsid w:val="00DD6C35"/>
    <w:rsid w:val="00DD7030"/>
    <w:rsid w:val="00DD7165"/>
    <w:rsid w:val="00DD719D"/>
    <w:rsid w:val="00DD7359"/>
    <w:rsid w:val="00DD73C2"/>
    <w:rsid w:val="00DD77BD"/>
    <w:rsid w:val="00DD77F8"/>
    <w:rsid w:val="00DD7A0E"/>
    <w:rsid w:val="00DD7B63"/>
    <w:rsid w:val="00DD7C1F"/>
    <w:rsid w:val="00DD7C34"/>
    <w:rsid w:val="00DD7E4F"/>
    <w:rsid w:val="00DE04CB"/>
    <w:rsid w:val="00DE05F8"/>
    <w:rsid w:val="00DE0625"/>
    <w:rsid w:val="00DE064B"/>
    <w:rsid w:val="00DE0666"/>
    <w:rsid w:val="00DE0930"/>
    <w:rsid w:val="00DE0BCC"/>
    <w:rsid w:val="00DE0D22"/>
    <w:rsid w:val="00DE0DDB"/>
    <w:rsid w:val="00DE1151"/>
    <w:rsid w:val="00DE121F"/>
    <w:rsid w:val="00DE1358"/>
    <w:rsid w:val="00DE1367"/>
    <w:rsid w:val="00DE16B7"/>
    <w:rsid w:val="00DE1939"/>
    <w:rsid w:val="00DE1945"/>
    <w:rsid w:val="00DE1B74"/>
    <w:rsid w:val="00DE1CDF"/>
    <w:rsid w:val="00DE1DD3"/>
    <w:rsid w:val="00DE1F05"/>
    <w:rsid w:val="00DE2012"/>
    <w:rsid w:val="00DE2454"/>
    <w:rsid w:val="00DE24E1"/>
    <w:rsid w:val="00DE2579"/>
    <w:rsid w:val="00DE2586"/>
    <w:rsid w:val="00DE26F6"/>
    <w:rsid w:val="00DE2B63"/>
    <w:rsid w:val="00DE2D8F"/>
    <w:rsid w:val="00DE2ECE"/>
    <w:rsid w:val="00DE3066"/>
    <w:rsid w:val="00DE3120"/>
    <w:rsid w:val="00DE3190"/>
    <w:rsid w:val="00DE3227"/>
    <w:rsid w:val="00DE371A"/>
    <w:rsid w:val="00DE38B6"/>
    <w:rsid w:val="00DE3932"/>
    <w:rsid w:val="00DE3A4E"/>
    <w:rsid w:val="00DE3B19"/>
    <w:rsid w:val="00DE3BCC"/>
    <w:rsid w:val="00DE3BE0"/>
    <w:rsid w:val="00DE3CF4"/>
    <w:rsid w:val="00DE3E13"/>
    <w:rsid w:val="00DE3EC6"/>
    <w:rsid w:val="00DE444A"/>
    <w:rsid w:val="00DE46C9"/>
    <w:rsid w:val="00DE4AD2"/>
    <w:rsid w:val="00DE4C3B"/>
    <w:rsid w:val="00DE4C59"/>
    <w:rsid w:val="00DE4E57"/>
    <w:rsid w:val="00DE4F06"/>
    <w:rsid w:val="00DE4FDD"/>
    <w:rsid w:val="00DE5197"/>
    <w:rsid w:val="00DE57F8"/>
    <w:rsid w:val="00DE59E1"/>
    <w:rsid w:val="00DE5AE7"/>
    <w:rsid w:val="00DE5BE7"/>
    <w:rsid w:val="00DE5C5F"/>
    <w:rsid w:val="00DE5DB3"/>
    <w:rsid w:val="00DE62FC"/>
    <w:rsid w:val="00DE632C"/>
    <w:rsid w:val="00DE6337"/>
    <w:rsid w:val="00DE63B1"/>
    <w:rsid w:val="00DE6428"/>
    <w:rsid w:val="00DE655B"/>
    <w:rsid w:val="00DE685E"/>
    <w:rsid w:val="00DE6F6E"/>
    <w:rsid w:val="00DE6FB1"/>
    <w:rsid w:val="00DE6FD7"/>
    <w:rsid w:val="00DE7518"/>
    <w:rsid w:val="00DE752A"/>
    <w:rsid w:val="00DE77AC"/>
    <w:rsid w:val="00DE7E85"/>
    <w:rsid w:val="00DE7E8C"/>
    <w:rsid w:val="00DE7FE5"/>
    <w:rsid w:val="00DF0088"/>
    <w:rsid w:val="00DF0217"/>
    <w:rsid w:val="00DF02A7"/>
    <w:rsid w:val="00DF02F2"/>
    <w:rsid w:val="00DF03E2"/>
    <w:rsid w:val="00DF0AAB"/>
    <w:rsid w:val="00DF0AB2"/>
    <w:rsid w:val="00DF0B20"/>
    <w:rsid w:val="00DF0B8A"/>
    <w:rsid w:val="00DF0B8C"/>
    <w:rsid w:val="00DF0EC4"/>
    <w:rsid w:val="00DF10FC"/>
    <w:rsid w:val="00DF125B"/>
    <w:rsid w:val="00DF140C"/>
    <w:rsid w:val="00DF158D"/>
    <w:rsid w:val="00DF1661"/>
    <w:rsid w:val="00DF171E"/>
    <w:rsid w:val="00DF17B2"/>
    <w:rsid w:val="00DF17D6"/>
    <w:rsid w:val="00DF1905"/>
    <w:rsid w:val="00DF1C6B"/>
    <w:rsid w:val="00DF1EA8"/>
    <w:rsid w:val="00DF1EFB"/>
    <w:rsid w:val="00DF1F53"/>
    <w:rsid w:val="00DF1FC5"/>
    <w:rsid w:val="00DF209E"/>
    <w:rsid w:val="00DF22BE"/>
    <w:rsid w:val="00DF269D"/>
    <w:rsid w:val="00DF2742"/>
    <w:rsid w:val="00DF277B"/>
    <w:rsid w:val="00DF27B8"/>
    <w:rsid w:val="00DF2ED3"/>
    <w:rsid w:val="00DF2FF4"/>
    <w:rsid w:val="00DF30C5"/>
    <w:rsid w:val="00DF3112"/>
    <w:rsid w:val="00DF3747"/>
    <w:rsid w:val="00DF3A28"/>
    <w:rsid w:val="00DF3ABE"/>
    <w:rsid w:val="00DF3CB2"/>
    <w:rsid w:val="00DF3CFC"/>
    <w:rsid w:val="00DF3D70"/>
    <w:rsid w:val="00DF3DEC"/>
    <w:rsid w:val="00DF3E5E"/>
    <w:rsid w:val="00DF41D3"/>
    <w:rsid w:val="00DF4200"/>
    <w:rsid w:val="00DF4266"/>
    <w:rsid w:val="00DF4439"/>
    <w:rsid w:val="00DF4605"/>
    <w:rsid w:val="00DF4625"/>
    <w:rsid w:val="00DF4A49"/>
    <w:rsid w:val="00DF4AE8"/>
    <w:rsid w:val="00DF5088"/>
    <w:rsid w:val="00DF5169"/>
    <w:rsid w:val="00DF540E"/>
    <w:rsid w:val="00DF545E"/>
    <w:rsid w:val="00DF552C"/>
    <w:rsid w:val="00DF5823"/>
    <w:rsid w:val="00DF5AFB"/>
    <w:rsid w:val="00DF5B6B"/>
    <w:rsid w:val="00DF5C60"/>
    <w:rsid w:val="00DF5E62"/>
    <w:rsid w:val="00DF60F3"/>
    <w:rsid w:val="00DF61E7"/>
    <w:rsid w:val="00DF633B"/>
    <w:rsid w:val="00DF63C2"/>
    <w:rsid w:val="00DF65B5"/>
    <w:rsid w:val="00DF66F1"/>
    <w:rsid w:val="00DF69DA"/>
    <w:rsid w:val="00DF6A2E"/>
    <w:rsid w:val="00DF6C4C"/>
    <w:rsid w:val="00DF7043"/>
    <w:rsid w:val="00DF7440"/>
    <w:rsid w:val="00DF75E2"/>
    <w:rsid w:val="00DF75FD"/>
    <w:rsid w:val="00DF7782"/>
    <w:rsid w:val="00DF7862"/>
    <w:rsid w:val="00DF7B92"/>
    <w:rsid w:val="00E0008B"/>
    <w:rsid w:val="00E0010C"/>
    <w:rsid w:val="00E001E2"/>
    <w:rsid w:val="00E0023B"/>
    <w:rsid w:val="00E006EA"/>
    <w:rsid w:val="00E007C9"/>
    <w:rsid w:val="00E00920"/>
    <w:rsid w:val="00E0098B"/>
    <w:rsid w:val="00E00A7F"/>
    <w:rsid w:val="00E00DAB"/>
    <w:rsid w:val="00E00EE9"/>
    <w:rsid w:val="00E0103E"/>
    <w:rsid w:val="00E0104E"/>
    <w:rsid w:val="00E0113E"/>
    <w:rsid w:val="00E0127E"/>
    <w:rsid w:val="00E01D1B"/>
    <w:rsid w:val="00E01DE6"/>
    <w:rsid w:val="00E01E2C"/>
    <w:rsid w:val="00E01ED6"/>
    <w:rsid w:val="00E023A6"/>
    <w:rsid w:val="00E023C3"/>
    <w:rsid w:val="00E02747"/>
    <w:rsid w:val="00E02A95"/>
    <w:rsid w:val="00E02AF3"/>
    <w:rsid w:val="00E02D03"/>
    <w:rsid w:val="00E02D72"/>
    <w:rsid w:val="00E02E84"/>
    <w:rsid w:val="00E02F30"/>
    <w:rsid w:val="00E02F47"/>
    <w:rsid w:val="00E03014"/>
    <w:rsid w:val="00E03198"/>
    <w:rsid w:val="00E034E9"/>
    <w:rsid w:val="00E036E3"/>
    <w:rsid w:val="00E03793"/>
    <w:rsid w:val="00E038EF"/>
    <w:rsid w:val="00E039A1"/>
    <w:rsid w:val="00E039C4"/>
    <w:rsid w:val="00E03AA6"/>
    <w:rsid w:val="00E03D8C"/>
    <w:rsid w:val="00E043C7"/>
    <w:rsid w:val="00E045E1"/>
    <w:rsid w:val="00E046BD"/>
    <w:rsid w:val="00E04743"/>
    <w:rsid w:val="00E04A60"/>
    <w:rsid w:val="00E053F6"/>
    <w:rsid w:val="00E05711"/>
    <w:rsid w:val="00E05B15"/>
    <w:rsid w:val="00E05CE1"/>
    <w:rsid w:val="00E05DDE"/>
    <w:rsid w:val="00E0603D"/>
    <w:rsid w:val="00E061B9"/>
    <w:rsid w:val="00E061E7"/>
    <w:rsid w:val="00E064D5"/>
    <w:rsid w:val="00E067A6"/>
    <w:rsid w:val="00E068AC"/>
    <w:rsid w:val="00E068E5"/>
    <w:rsid w:val="00E069C3"/>
    <w:rsid w:val="00E06A20"/>
    <w:rsid w:val="00E06B9D"/>
    <w:rsid w:val="00E06DBE"/>
    <w:rsid w:val="00E06FD9"/>
    <w:rsid w:val="00E07260"/>
    <w:rsid w:val="00E073B8"/>
    <w:rsid w:val="00E07408"/>
    <w:rsid w:val="00E07423"/>
    <w:rsid w:val="00E0743F"/>
    <w:rsid w:val="00E0764D"/>
    <w:rsid w:val="00E076A2"/>
    <w:rsid w:val="00E07765"/>
    <w:rsid w:val="00E0781A"/>
    <w:rsid w:val="00E07A10"/>
    <w:rsid w:val="00E07B6F"/>
    <w:rsid w:val="00E07DFF"/>
    <w:rsid w:val="00E07FD2"/>
    <w:rsid w:val="00E10061"/>
    <w:rsid w:val="00E101BF"/>
    <w:rsid w:val="00E10331"/>
    <w:rsid w:val="00E106B8"/>
    <w:rsid w:val="00E106D2"/>
    <w:rsid w:val="00E1074C"/>
    <w:rsid w:val="00E108ED"/>
    <w:rsid w:val="00E10981"/>
    <w:rsid w:val="00E10A08"/>
    <w:rsid w:val="00E10C62"/>
    <w:rsid w:val="00E10F66"/>
    <w:rsid w:val="00E11005"/>
    <w:rsid w:val="00E11162"/>
    <w:rsid w:val="00E11277"/>
    <w:rsid w:val="00E11337"/>
    <w:rsid w:val="00E113DF"/>
    <w:rsid w:val="00E11643"/>
    <w:rsid w:val="00E1195D"/>
    <w:rsid w:val="00E119F2"/>
    <w:rsid w:val="00E11A39"/>
    <w:rsid w:val="00E11A61"/>
    <w:rsid w:val="00E11AC2"/>
    <w:rsid w:val="00E11B1B"/>
    <w:rsid w:val="00E11B93"/>
    <w:rsid w:val="00E11C4D"/>
    <w:rsid w:val="00E11C4F"/>
    <w:rsid w:val="00E11D8B"/>
    <w:rsid w:val="00E11DCA"/>
    <w:rsid w:val="00E11E2E"/>
    <w:rsid w:val="00E11EFB"/>
    <w:rsid w:val="00E11F21"/>
    <w:rsid w:val="00E11F2F"/>
    <w:rsid w:val="00E11F39"/>
    <w:rsid w:val="00E12511"/>
    <w:rsid w:val="00E126B1"/>
    <w:rsid w:val="00E128B7"/>
    <w:rsid w:val="00E1298C"/>
    <w:rsid w:val="00E12A94"/>
    <w:rsid w:val="00E12C05"/>
    <w:rsid w:val="00E12D35"/>
    <w:rsid w:val="00E130CB"/>
    <w:rsid w:val="00E131D6"/>
    <w:rsid w:val="00E133FF"/>
    <w:rsid w:val="00E13447"/>
    <w:rsid w:val="00E13737"/>
    <w:rsid w:val="00E13917"/>
    <w:rsid w:val="00E13CE4"/>
    <w:rsid w:val="00E13E5A"/>
    <w:rsid w:val="00E13E9A"/>
    <w:rsid w:val="00E14092"/>
    <w:rsid w:val="00E1410B"/>
    <w:rsid w:val="00E141A3"/>
    <w:rsid w:val="00E14268"/>
    <w:rsid w:val="00E1426C"/>
    <w:rsid w:val="00E14463"/>
    <w:rsid w:val="00E14B16"/>
    <w:rsid w:val="00E14B8C"/>
    <w:rsid w:val="00E14C3B"/>
    <w:rsid w:val="00E14DE0"/>
    <w:rsid w:val="00E14E10"/>
    <w:rsid w:val="00E14F60"/>
    <w:rsid w:val="00E15172"/>
    <w:rsid w:val="00E151E7"/>
    <w:rsid w:val="00E151E9"/>
    <w:rsid w:val="00E15466"/>
    <w:rsid w:val="00E154B4"/>
    <w:rsid w:val="00E1565C"/>
    <w:rsid w:val="00E156D6"/>
    <w:rsid w:val="00E1575F"/>
    <w:rsid w:val="00E15A10"/>
    <w:rsid w:val="00E15C11"/>
    <w:rsid w:val="00E15DB7"/>
    <w:rsid w:val="00E15EE5"/>
    <w:rsid w:val="00E16028"/>
    <w:rsid w:val="00E16075"/>
    <w:rsid w:val="00E1609F"/>
    <w:rsid w:val="00E1651F"/>
    <w:rsid w:val="00E16783"/>
    <w:rsid w:val="00E16B83"/>
    <w:rsid w:val="00E16CBD"/>
    <w:rsid w:val="00E16D36"/>
    <w:rsid w:val="00E16EBA"/>
    <w:rsid w:val="00E16EFD"/>
    <w:rsid w:val="00E16F11"/>
    <w:rsid w:val="00E16F52"/>
    <w:rsid w:val="00E170F4"/>
    <w:rsid w:val="00E173A9"/>
    <w:rsid w:val="00E17459"/>
    <w:rsid w:val="00E1786C"/>
    <w:rsid w:val="00E178FD"/>
    <w:rsid w:val="00E17965"/>
    <w:rsid w:val="00E179A4"/>
    <w:rsid w:val="00E179B6"/>
    <w:rsid w:val="00E17B3C"/>
    <w:rsid w:val="00E17BF4"/>
    <w:rsid w:val="00E17C0D"/>
    <w:rsid w:val="00E20664"/>
    <w:rsid w:val="00E20687"/>
    <w:rsid w:val="00E20724"/>
    <w:rsid w:val="00E2085C"/>
    <w:rsid w:val="00E2089E"/>
    <w:rsid w:val="00E2096A"/>
    <w:rsid w:val="00E209B5"/>
    <w:rsid w:val="00E20B51"/>
    <w:rsid w:val="00E20BB2"/>
    <w:rsid w:val="00E20C3E"/>
    <w:rsid w:val="00E20CD0"/>
    <w:rsid w:val="00E20D4C"/>
    <w:rsid w:val="00E20F82"/>
    <w:rsid w:val="00E20FA0"/>
    <w:rsid w:val="00E21083"/>
    <w:rsid w:val="00E21448"/>
    <w:rsid w:val="00E2152E"/>
    <w:rsid w:val="00E218AA"/>
    <w:rsid w:val="00E219D8"/>
    <w:rsid w:val="00E21A1E"/>
    <w:rsid w:val="00E2200C"/>
    <w:rsid w:val="00E2200E"/>
    <w:rsid w:val="00E2287D"/>
    <w:rsid w:val="00E229C2"/>
    <w:rsid w:val="00E22D5D"/>
    <w:rsid w:val="00E22E66"/>
    <w:rsid w:val="00E23019"/>
    <w:rsid w:val="00E231A9"/>
    <w:rsid w:val="00E233E4"/>
    <w:rsid w:val="00E23517"/>
    <w:rsid w:val="00E23707"/>
    <w:rsid w:val="00E23918"/>
    <w:rsid w:val="00E2391D"/>
    <w:rsid w:val="00E23C3D"/>
    <w:rsid w:val="00E242BF"/>
    <w:rsid w:val="00E244AE"/>
    <w:rsid w:val="00E24654"/>
    <w:rsid w:val="00E2473A"/>
    <w:rsid w:val="00E247AF"/>
    <w:rsid w:val="00E247D2"/>
    <w:rsid w:val="00E2484F"/>
    <w:rsid w:val="00E2485B"/>
    <w:rsid w:val="00E24969"/>
    <w:rsid w:val="00E249B6"/>
    <w:rsid w:val="00E249E0"/>
    <w:rsid w:val="00E24A13"/>
    <w:rsid w:val="00E24C02"/>
    <w:rsid w:val="00E24CF5"/>
    <w:rsid w:val="00E24D5C"/>
    <w:rsid w:val="00E25162"/>
    <w:rsid w:val="00E251E1"/>
    <w:rsid w:val="00E255AD"/>
    <w:rsid w:val="00E256B8"/>
    <w:rsid w:val="00E256C1"/>
    <w:rsid w:val="00E2570C"/>
    <w:rsid w:val="00E2570E"/>
    <w:rsid w:val="00E25827"/>
    <w:rsid w:val="00E25842"/>
    <w:rsid w:val="00E25963"/>
    <w:rsid w:val="00E25E23"/>
    <w:rsid w:val="00E25E45"/>
    <w:rsid w:val="00E26104"/>
    <w:rsid w:val="00E264C0"/>
    <w:rsid w:val="00E2658C"/>
    <w:rsid w:val="00E26806"/>
    <w:rsid w:val="00E26821"/>
    <w:rsid w:val="00E26AB8"/>
    <w:rsid w:val="00E26BB1"/>
    <w:rsid w:val="00E26BB6"/>
    <w:rsid w:val="00E26CE1"/>
    <w:rsid w:val="00E26DA7"/>
    <w:rsid w:val="00E26FC5"/>
    <w:rsid w:val="00E26FDF"/>
    <w:rsid w:val="00E270CE"/>
    <w:rsid w:val="00E27188"/>
    <w:rsid w:val="00E274EF"/>
    <w:rsid w:val="00E2774D"/>
    <w:rsid w:val="00E27786"/>
    <w:rsid w:val="00E277CC"/>
    <w:rsid w:val="00E2785C"/>
    <w:rsid w:val="00E27961"/>
    <w:rsid w:val="00E27A24"/>
    <w:rsid w:val="00E27B44"/>
    <w:rsid w:val="00E27B8B"/>
    <w:rsid w:val="00E27DCF"/>
    <w:rsid w:val="00E3013E"/>
    <w:rsid w:val="00E3055D"/>
    <w:rsid w:val="00E309EC"/>
    <w:rsid w:val="00E30A68"/>
    <w:rsid w:val="00E30B38"/>
    <w:rsid w:val="00E30BE9"/>
    <w:rsid w:val="00E30E68"/>
    <w:rsid w:val="00E30E85"/>
    <w:rsid w:val="00E30F29"/>
    <w:rsid w:val="00E30FF7"/>
    <w:rsid w:val="00E31045"/>
    <w:rsid w:val="00E310C9"/>
    <w:rsid w:val="00E311A1"/>
    <w:rsid w:val="00E318B9"/>
    <w:rsid w:val="00E319C2"/>
    <w:rsid w:val="00E31ADF"/>
    <w:rsid w:val="00E31B25"/>
    <w:rsid w:val="00E31F9E"/>
    <w:rsid w:val="00E31FC8"/>
    <w:rsid w:val="00E32118"/>
    <w:rsid w:val="00E321D7"/>
    <w:rsid w:val="00E322A9"/>
    <w:rsid w:val="00E3265D"/>
    <w:rsid w:val="00E32683"/>
    <w:rsid w:val="00E327EA"/>
    <w:rsid w:val="00E3296D"/>
    <w:rsid w:val="00E329BE"/>
    <w:rsid w:val="00E32A9C"/>
    <w:rsid w:val="00E32AD2"/>
    <w:rsid w:val="00E32B17"/>
    <w:rsid w:val="00E32BA5"/>
    <w:rsid w:val="00E32F9D"/>
    <w:rsid w:val="00E33189"/>
    <w:rsid w:val="00E334AA"/>
    <w:rsid w:val="00E33538"/>
    <w:rsid w:val="00E33611"/>
    <w:rsid w:val="00E33830"/>
    <w:rsid w:val="00E33943"/>
    <w:rsid w:val="00E3396F"/>
    <w:rsid w:val="00E33BF8"/>
    <w:rsid w:val="00E33F79"/>
    <w:rsid w:val="00E340D2"/>
    <w:rsid w:val="00E3410C"/>
    <w:rsid w:val="00E341C3"/>
    <w:rsid w:val="00E34230"/>
    <w:rsid w:val="00E342FD"/>
    <w:rsid w:val="00E34345"/>
    <w:rsid w:val="00E34B60"/>
    <w:rsid w:val="00E34BA4"/>
    <w:rsid w:val="00E34CFD"/>
    <w:rsid w:val="00E34F72"/>
    <w:rsid w:val="00E3505B"/>
    <w:rsid w:val="00E350B5"/>
    <w:rsid w:val="00E351AD"/>
    <w:rsid w:val="00E351BD"/>
    <w:rsid w:val="00E35257"/>
    <w:rsid w:val="00E352C0"/>
    <w:rsid w:val="00E35546"/>
    <w:rsid w:val="00E355B7"/>
    <w:rsid w:val="00E357AF"/>
    <w:rsid w:val="00E35A80"/>
    <w:rsid w:val="00E35A86"/>
    <w:rsid w:val="00E35B00"/>
    <w:rsid w:val="00E35D1D"/>
    <w:rsid w:val="00E35D8F"/>
    <w:rsid w:val="00E35DEA"/>
    <w:rsid w:val="00E35EB1"/>
    <w:rsid w:val="00E36056"/>
    <w:rsid w:val="00E36058"/>
    <w:rsid w:val="00E3622F"/>
    <w:rsid w:val="00E362EC"/>
    <w:rsid w:val="00E36335"/>
    <w:rsid w:val="00E363F7"/>
    <w:rsid w:val="00E3641F"/>
    <w:rsid w:val="00E3646E"/>
    <w:rsid w:val="00E3657E"/>
    <w:rsid w:val="00E365FD"/>
    <w:rsid w:val="00E3671F"/>
    <w:rsid w:val="00E36774"/>
    <w:rsid w:val="00E368A8"/>
    <w:rsid w:val="00E36920"/>
    <w:rsid w:val="00E3699B"/>
    <w:rsid w:val="00E36A55"/>
    <w:rsid w:val="00E36C5A"/>
    <w:rsid w:val="00E36CD9"/>
    <w:rsid w:val="00E36E75"/>
    <w:rsid w:val="00E36EC1"/>
    <w:rsid w:val="00E36F86"/>
    <w:rsid w:val="00E3708D"/>
    <w:rsid w:val="00E371A8"/>
    <w:rsid w:val="00E37445"/>
    <w:rsid w:val="00E37454"/>
    <w:rsid w:val="00E37614"/>
    <w:rsid w:val="00E377FF"/>
    <w:rsid w:val="00E378F1"/>
    <w:rsid w:val="00E37A87"/>
    <w:rsid w:val="00E37A95"/>
    <w:rsid w:val="00E37FD2"/>
    <w:rsid w:val="00E4012D"/>
    <w:rsid w:val="00E40571"/>
    <w:rsid w:val="00E407F5"/>
    <w:rsid w:val="00E40B17"/>
    <w:rsid w:val="00E40B58"/>
    <w:rsid w:val="00E40CB3"/>
    <w:rsid w:val="00E41073"/>
    <w:rsid w:val="00E41326"/>
    <w:rsid w:val="00E4140E"/>
    <w:rsid w:val="00E414A6"/>
    <w:rsid w:val="00E414E0"/>
    <w:rsid w:val="00E41712"/>
    <w:rsid w:val="00E41936"/>
    <w:rsid w:val="00E41A8D"/>
    <w:rsid w:val="00E41C47"/>
    <w:rsid w:val="00E41F8A"/>
    <w:rsid w:val="00E42326"/>
    <w:rsid w:val="00E425A5"/>
    <w:rsid w:val="00E4260A"/>
    <w:rsid w:val="00E42832"/>
    <w:rsid w:val="00E42A88"/>
    <w:rsid w:val="00E432DC"/>
    <w:rsid w:val="00E4330E"/>
    <w:rsid w:val="00E433B8"/>
    <w:rsid w:val="00E434F4"/>
    <w:rsid w:val="00E4368A"/>
    <w:rsid w:val="00E4396B"/>
    <w:rsid w:val="00E439DE"/>
    <w:rsid w:val="00E43A21"/>
    <w:rsid w:val="00E43BD9"/>
    <w:rsid w:val="00E43C36"/>
    <w:rsid w:val="00E43C67"/>
    <w:rsid w:val="00E43DBA"/>
    <w:rsid w:val="00E43E8F"/>
    <w:rsid w:val="00E44017"/>
    <w:rsid w:val="00E44161"/>
    <w:rsid w:val="00E443B3"/>
    <w:rsid w:val="00E449E8"/>
    <w:rsid w:val="00E44A37"/>
    <w:rsid w:val="00E44A59"/>
    <w:rsid w:val="00E44E86"/>
    <w:rsid w:val="00E44F44"/>
    <w:rsid w:val="00E450BD"/>
    <w:rsid w:val="00E451F9"/>
    <w:rsid w:val="00E4555A"/>
    <w:rsid w:val="00E4558D"/>
    <w:rsid w:val="00E455FD"/>
    <w:rsid w:val="00E45912"/>
    <w:rsid w:val="00E45979"/>
    <w:rsid w:val="00E45A7E"/>
    <w:rsid w:val="00E45B6C"/>
    <w:rsid w:val="00E45D7E"/>
    <w:rsid w:val="00E45D8F"/>
    <w:rsid w:val="00E45E0D"/>
    <w:rsid w:val="00E45FB7"/>
    <w:rsid w:val="00E45FBD"/>
    <w:rsid w:val="00E4606C"/>
    <w:rsid w:val="00E46A81"/>
    <w:rsid w:val="00E46AC2"/>
    <w:rsid w:val="00E46C0F"/>
    <w:rsid w:val="00E46D8D"/>
    <w:rsid w:val="00E46DF9"/>
    <w:rsid w:val="00E46EC3"/>
    <w:rsid w:val="00E471E0"/>
    <w:rsid w:val="00E47513"/>
    <w:rsid w:val="00E476BA"/>
    <w:rsid w:val="00E477C7"/>
    <w:rsid w:val="00E478E5"/>
    <w:rsid w:val="00E47912"/>
    <w:rsid w:val="00E47A88"/>
    <w:rsid w:val="00E47A96"/>
    <w:rsid w:val="00E47B36"/>
    <w:rsid w:val="00E47BB6"/>
    <w:rsid w:val="00E47DDD"/>
    <w:rsid w:val="00E47E25"/>
    <w:rsid w:val="00E500F3"/>
    <w:rsid w:val="00E50213"/>
    <w:rsid w:val="00E50255"/>
    <w:rsid w:val="00E505CD"/>
    <w:rsid w:val="00E50659"/>
    <w:rsid w:val="00E50672"/>
    <w:rsid w:val="00E50815"/>
    <w:rsid w:val="00E50822"/>
    <w:rsid w:val="00E50884"/>
    <w:rsid w:val="00E50CFD"/>
    <w:rsid w:val="00E5101E"/>
    <w:rsid w:val="00E51057"/>
    <w:rsid w:val="00E5119C"/>
    <w:rsid w:val="00E51308"/>
    <w:rsid w:val="00E51339"/>
    <w:rsid w:val="00E5147C"/>
    <w:rsid w:val="00E51534"/>
    <w:rsid w:val="00E515ED"/>
    <w:rsid w:val="00E5177A"/>
    <w:rsid w:val="00E5186F"/>
    <w:rsid w:val="00E5195B"/>
    <w:rsid w:val="00E51A52"/>
    <w:rsid w:val="00E51C37"/>
    <w:rsid w:val="00E51D91"/>
    <w:rsid w:val="00E51E45"/>
    <w:rsid w:val="00E52028"/>
    <w:rsid w:val="00E52064"/>
    <w:rsid w:val="00E520AF"/>
    <w:rsid w:val="00E522B0"/>
    <w:rsid w:val="00E5281C"/>
    <w:rsid w:val="00E529D6"/>
    <w:rsid w:val="00E52A40"/>
    <w:rsid w:val="00E52A87"/>
    <w:rsid w:val="00E52AA7"/>
    <w:rsid w:val="00E52AB4"/>
    <w:rsid w:val="00E52AC5"/>
    <w:rsid w:val="00E52B11"/>
    <w:rsid w:val="00E52C14"/>
    <w:rsid w:val="00E52F50"/>
    <w:rsid w:val="00E53079"/>
    <w:rsid w:val="00E533F0"/>
    <w:rsid w:val="00E5349B"/>
    <w:rsid w:val="00E5352D"/>
    <w:rsid w:val="00E5355C"/>
    <w:rsid w:val="00E53603"/>
    <w:rsid w:val="00E5390C"/>
    <w:rsid w:val="00E5392D"/>
    <w:rsid w:val="00E53978"/>
    <w:rsid w:val="00E53BDB"/>
    <w:rsid w:val="00E53BFA"/>
    <w:rsid w:val="00E53DD5"/>
    <w:rsid w:val="00E53E76"/>
    <w:rsid w:val="00E53FA6"/>
    <w:rsid w:val="00E54028"/>
    <w:rsid w:val="00E540BB"/>
    <w:rsid w:val="00E54311"/>
    <w:rsid w:val="00E54753"/>
    <w:rsid w:val="00E5481F"/>
    <w:rsid w:val="00E54994"/>
    <w:rsid w:val="00E54A28"/>
    <w:rsid w:val="00E54A29"/>
    <w:rsid w:val="00E54D3F"/>
    <w:rsid w:val="00E54D7D"/>
    <w:rsid w:val="00E54D85"/>
    <w:rsid w:val="00E54EF2"/>
    <w:rsid w:val="00E54FA2"/>
    <w:rsid w:val="00E55025"/>
    <w:rsid w:val="00E556BF"/>
    <w:rsid w:val="00E559F6"/>
    <w:rsid w:val="00E55D6D"/>
    <w:rsid w:val="00E55FFF"/>
    <w:rsid w:val="00E560D7"/>
    <w:rsid w:val="00E562D5"/>
    <w:rsid w:val="00E56415"/>
    <w:rsid w:val="00E565B6"/>
    <w:rsid w:val="00E5661D"/>
    <w:rsid w:val="00E56A42"/>
    <w:rsid w:val="00E56B03"/>
    <w:rsid w:val="00E56C40"/>
    <w:rsid w:val="00E56EB1"/>
    <w:rsid w:val="00E56ECF"/>
    <w:rsid w:val="00E57167"/>
    <w:rsid w:val="00E5723F"/>
    <w:rsid w:val="00E57262"/>
    <w:rsid w:val="00E57672"/>
    <w:rsid w:val="00E57689"/>
    <w:rsid w:val="00E5769A"/>
    <w:rsid w:val="00E57A39"/>
    <w:rsid w:val="00E57A89"/>
    <w:rsid w:val="00E57C4B"/>
    <w:rsid w:val="00E57FD9"/>
    <w:rsid w:val="00E57FDF"/>
    <w:rsid w:val="00E57FF5"/>
    <w:rsid w:val="00E60112"/>
    <w:rsid w:val="00E602BF"/>
    <w:rsid w:val="00E60633"/>
    <w:rsid w:val="00E60740"/>
    <w:rsid w:val="00E60A5B"/>
    <w:rsid w:val="00E60B80"/>
    <w:rsid w:val="00E60BAD"/>
    <w:rsid w:val="00E60E77"/>
    <w:rsid w:val="00E6104E"/>
    <w:rsid w:val="00E6108A"/>
    <w:rsid w:val="00E610A4"/>
    <w:rsid w:val="00E61379"/>
    <w:rsid w:val="00E6142B"/>
    <w:rsid w:val="00E6142F"/>
    <w:rsid w:val="00E61472"/>
    <w:rsid w:val="00E614C5"/>
    <w:rsid w:val="00E615B8"/>
    <w:rsid w:val="00E617B6"/>
    <w:rsid w:val="00E61961"/>
    <w:rsid w:val="00E619C0"/>
    <w:rsid w:val="00E61B2E"/>
    <w:rsid w:val="00E61B37"/>
    <w:rsid w:val="00E61CF2"/>
    <w:rsid w:val="00E61FB6"/>
    <w:rsid w:val="00E620B8"/>
    <w:rsid w:val="00E62112"/>
    <w:rsid w:val="00E6242F"/>
    <w:rsid w:val="00E6247C"/>
    <w:rsid w:val="00E62578"/>
    <w:rsid w:val="00E626D0"/>
    <w:rsid w:val="00E62788"/>
    <w:rsid w:val="00E6280D"/>
    <w:rsid w:val="00E629AA"/>
    <w:rsid w:val="00E62A27"/>
    <w:rsid w:val="00E62AF2"/>
    <w:rsid w:val="00E62AF5"/>
    <w:rsid w:val="00E62BCB"/>
    <w:rsid w:val="00E62EC4"/>
    <w:rsid w:val="00E62F6E"/>
    <w:rsid w:val="00E63155"/>
    <w:rsid w:val="00E63272"/>
    <w:rsid w:val="00E63332"/>
    <w:rsid w:val="00E633E9"/>
    <w:rsid w:val="00E63514"/>
    <w:rsid w:val="00E6366F"/>
    <w:rsid w:val="00E6368D"/>
    <w:rsid w:val="00E636C3"/>
    <w:rsid w:val="00E636C9"/>
    <w:rsid w:val="00E63752"/>
    <w:rsid w:val="00E639F7"/>
    <w:rsid w:val="00E63DBB"/>
    <w:rsid w:val="00E63E81"/>
    <w:rsid w:val="00E64030"/>
    <w:rsid w:val="00E640E3"/>
    <w:rsid w:val="00E64173"/>
    <w:rsid w:val="00E6439E"/>
    <w:rsid w:val="00E645A4"/>
    <w:rsid w:val="00E6471A"/>
    <w:rsid w:val="00E64A18"/>
    <w:rsid w:val="00E64BD8"/>
    <w:rsid w:val="00E64E45"/>
    <w:rsid w:val="00E64E6B"/>
    <w:rsid w:val="00E64EA0"/>
    <w:rsid w:val="00E64ED4"/>
    <w:rsid w:val="00E65142"/>
    <w:rsid w:val="00E65333"/>
    <w:rsid w:val="00E65361"/>
    <w:rsid w:val="00E6542A"/>
    <w:rsid w:val="00E655D6"/>
    <w:rsid w:val="00E65688"/>
    <w:rsid w:val="00E656D1"/>
    <w:rsid w:val="00E6583A"/>
    <w:rsid w:val="00E6585E"/>
    <w:rsid w:val="00E658D2"/>
    <w:rsid w:val="00E65A7D"/>
    <w:rsid w:val="00E65B61"/>
    <w:rsid w:val="00E65B68"/>
    <w:rsid w:val="00E65CD6"/>
    <w:rsid w:val="00E660D2"/>
    <w:rsid w:val="00E6619B"/>
    <w:rsid w:val="00E661CC"/>
    <w:rsid w:val="00E66395"/>
    <w:rsid w:val="00E664AB"/>
    <w:rsid w:val="00E666F9"/>
    <w:rsid w:val="00E66827"/>
    <w:rsid w:val="00E6685F"/>
    <w:rsid w:val="00E66F3F"/>
    <w:rsid w:val="00E67309"/>
    <w:rsid w:val="00E6740A"/>
    <w:rsid w:val="00E67575"/>
    <w:rsid w:val="00E675EA"/>
    <w:rsid w:val="00E67634"/>
    <w:rsid w:val="00E6777E"/>
    <w:rsid w:val="00E67970"/>
    <w:rsid w:val="00E67AB3"/>
    <w:rsid w:val="00E67B81"/>
    <w:rsid w:val="00E70165"/>
    <w:rsid w:val="00E702B3"/>
    <w:rsid w:val="00E70846"/>
    <w:rsid w:val="00E70A42"/>
    <w:rsid w:val="00E70A9A"/>
    <w:rsid w:val="00E70B08"/>
    <w:rsid w:val="00E70C40"/>
    <w:rsid w:val="00E70D24"/>
    <w:rsid w:val="00E70DF7"/>
    <w:rsid w:val="00E70EE9"/>
    <w:rsid w:val="00E70F0D"/>
    <w:rsid w:val="00E7101D"/>
    <w:rsid w:val="00E710FF"/>
    <w:rsid w:val="00E71170"/>
    <w:rsid w:val="00E711BB"/>
    <w:rsid w:val="00E71625"/>
    <w:rsid w:val="00E717A4"/>
    <w:rsid w:val="00E71819"/>
    <w:rsid w:val="00E71862"/>
    <w:rsid w:val="00E71965"/>
    <w:rsid w:val="00E71A88"/>
    <w:rsid w:val="00E71F71"/>
    <w:rsid w:val="00E72057"/>
    <w:rsid w:val="00E72577"/>
    <w:rsid w:val="00E725B9"/>
    <w:rsid w:val="00E72770"/>
    <w:rsid w:val="00E728D2"/>
    <w:rsid w:val="00E72962"/>
    <w:rsid w:val="00E7298E"/>
    <w:rsid w:val="00E72CBC"/>
    <w:rsid w:val="00E72E05"/>
    <w:rsid w:val="00E72F49"/>
    <w:rsid w:val="00E72FE7"/>
    <w:rsid w:val="00E733F0"/>
    <w:rsid w:val="00E733F3"/>
    <w:rsid w:val="00E73417"/>
    <w:rsid w:val="00E73499"/>
    <w:rsid w:val="00E73616"/>
    <w:rsid w:val="00E7382B"/>
    <w:rsid w:val="00E7384E"/>
    <w:rsid w:val="00E73912"/>
    <w:rsid w:val="00E73989"/>
    <w:rsid w:val="00E73AD2"/>
    <w:rsid w:val="00E73B42"/>
    <w:rsid w:val="00E73C2F"/>
    <w:rsid w:val="00E73C30"/>
    <w:rsid w:val="00E73EB1"/>
    <w:rsid w:val="00E73FB6"/>
    <w:rsid w:val="00E74077"/>
    <w:rsid w:val="00E74190"/>
    <w:rsid w:val="00E7462E"/>
    <w:rsid w:val="00E74778"/>
    <w:rsid w:val="00E747E9"/>
    <w:rsid w:val="00E748A7"/>
    <w:rsid w:val="00E749D8"/>
    <w:rsid w:val="00E74CDE"/>
    <w:rsid w:val="00E74E5F"/>
    <w:rsid w:val="00E7520B"/>
    <w:rsid w:val="00E75267"/>
    <w:rsid w:val="00E75327"/>
    <w:rsid w:val="00E7538F"/>
    <w:rsid w:val="00E753F0"/>
    <w:rsid w:val="00E7572E"/>
    <w:rsid w:val="00E757D7"/>
    <w:rsid w:val="00E75997"/>
    <w:rsid w:val="00E75A7E"/>
    <w:rsid w:val="00E76209"/>
    <w:rsid w:val="00E76474"/>
    <w:rsid w:val="00E7647F"/>
    <w:rsid w:val="00E7649C"/>
    <w:rsid w:val="00E767A5"/>
    <w:rsid w:val="00E76BC3"/>
    <w:rsid w:val="00E770B1"/>
    <w:rsid w:val="00E77176"/>
    <w:rsid w:val="00E771C8"/>
    <w:rsid w:val="00E7727D"/>
    <w:rsid w:val="00E772C7"/>
    <w:rsid w:val="00E77722"/>
    <w:rsid w:val="00E778B9"/>
    <w:rsid w:val="00E77C2D"/>
    <w:rsid w:val="00E77C87"/>
    <w:rsid w:val="00E77DA2"/>
    <w:rsid w:val="00E77FA5"/>
    <w:rsid w:val="00E8002A"/>
    <w:rsid w:val="00E80103"/>
    <w:rsid w:val="00E8011A"/>
    <w:rsid w:val="00E8015A"/>
    <w:rsid w:val="00E806DC"/>
    <w:rsid w:val="00E807B4"/>
    <w:rsid w:val="00E80933"/>
    <w:rsid w:val="00E80AEC"/>
    <w:rsid w:val="00E80B75"/>
    <w:rsid w:val="00E80C79"/>
    <w:rsid w:val="00E80C95"/>
    <w:rsid w:val="00E80D2D"/>
    <w:rsid w:val="00E80FE9"/>
    <w:rsid w:val="00E80FFA"/>
    <w:rsid w:val="00E8103C"/>
    <w:rsid w:val="00E8123A"/>
    <w:rsid w:val="00E8155D"/>
    <w:rsid w:val="00E81850"/>
    <w:rsid w:val="00E81888"/>
    <w:rsid w:val="00E819C2"/>
    <w:rsid w:val="00E81ABC"/>
    <w:rsid w:val="00E81AD9"/>
    <w:rsid w:val="00E81B8B"/>
    <w:rsid w:val="00E81F36"/>
    <w:rsid w:val="00E82032"/>
    <w:rsid w:val="00E820AD"/>
    <w:rsid w:val="00E821BC"/>
    <w:rsid w:val="00E82542"/>
    <w:rsid w:val="00E82669"/>
    <w:rsid w:val="00E826D8"/>
    <w:rsid w:val="00E82B02"/>
    <w:rsid w:val="00E82B20"/>
    <w:rsid w:val="00E82B8C"/>
    <w:rsid w:val="00E82E5D"/>
    <w:rsid w:val="00E82F49"/>
    <w:rsid w:val="00E8301F"/>
    <w:rsid w:val="00E83020"/>
    <w:rsid w:val="00E830D3"/>
    <w:rsid w:val="00E83139"/>
    <w:rsid w:val="00E831F4"/>
    <w:rsid w:val="00E83404"/>
    <w:rsid w:val="00E835EA"/>
    <w:rsid w:val="00E8363C"/>
    <w:rsid w:val="00E837EF"/>
    <w:rsid w:val="00E838B0"/>
    <w:rsid w:val="00E83BF9"/>
    <w:rsid w:val="00E83C02"/>
    <w:rsid w:val="00E83CA2"/>
    <w:rsid w:val="00E83F17"/>
    <w:rsid w:val="00E83F8D"/>
    <w:rsid w:val="00E83FAF"/>
    <w:rsid w:val="00E840B3"/>
    <w:rsid w:val="00E84160"/>
    <w:rsid w:val="00E84294"/>
    <w:rsid w:val="00E84321"/>
    <w:rsid w:val="00E84581"/>
    <w:rsid w:val="00E8478C"/>
    <w:rsid w:val="00E84791"/>
    <w:rsid w:val="00E847FA"/>
    <w:rsid w:val="00E848E0"/>
    <w:rsid w:val="00E8490F"/>
    <w:rsid w:val="00E84E6C"/>
    <w:rsid w:val="00E84F91"/>
    <w:rsid w:val="00E85059"/>
    <w:rsid w:val="00E85073"/>
    <w:rsid w:val="00E85165"/>
    <w:rsid w:val="00E8528F"/>
    <w:rsid w:val="00E85503"/>
    <w:rsid w:val="00E8550B"/>
    <w:rsid w:val="00E85639"/>
    <w:rsid w:val="00E85771"/>
    <w:rsid w:val="00E85B74"/>
    <w:rsid w:val="00E85D36"/>
    <w:rsid w:val="00E861A8"/>
    <w:rsid w:val="00E86261"/>
    <w:rsid w:val="00E862EF"/>
    <w:rsid w:val="00E866DC"/>
    <w:rsid w:val="00E866E4"/>
    <w:rsid w:val="00E86777"/>
    <w:rsid w:val="00E867A7"/>
    <w:rsid w:val="00E867AD"/>
    <w:rsid w:val="00E86B1D"/>
    <w:rsid w:val="00E86B58"/>
    <w:rsid w:val="00E86F95"/>
    <w:rsid w:val="00E87077"/>
    <w:rsid w:val="00E87238"/>
    <w:rsid w:val="00E87412"/>
    <w:rsid w:val="00E877AF"/>
    <w:rsid w:val="00E87827"/>
    <w:rsid w:val="00E87981"/>
    <w:rsid w:val="00E879C0"/>
    <w:rsid w:val="00E87C51"/>
    <w:rsid w:val="00E87C5D"/>
    <w:rsid w:val="00E87D25"/>
    <w:rsid w:val="00E87D55"/>
    <w:rsid w:val="00E87D60"/>
    <w:rsid w:val="00E87DF7"/>
    <w:rsid w:val="00E87E6D"/>
    <w:rsid w:val="00E87F2C"/>
    <w:rsid w:val="00E9053F"/>
    <w:rsid w:val="00E90912"/>
    <w:rsid w:val="00E90A50"/>
    <w:rsid w:val="00E90B1D"/>
    <w:rsid w:val="00E90D75"/>
    <w:rsid w:val="00E91071"/>
    <w:rsid w:val="00E913BE"/>
    <w:rsid w:val="00E91539"/>
    <w:rsid w:val="00E915FD"/>
    <w:rsid w:val="00E91651"/>
    <w:rsid w:val="00E91788"/>
    <w:rsid w:val="00E91815"/>
    <w:rsid w:val="00E91C43"/>
    <w:rsid w:val="00E91E39"/>
    <w:rsid w:val="00E924B7"/>
    <w:rsid w:val="00E92739"/>
    <w:rsid w:val="00E929C7"/>
    <w:rsid w:val="00E92AD8"/>
    <w:rsid w:val="00E92B68"/>
    <w:rsid w:val="00E92C12"/>
    <w:rsid w:val="00E92CAD"/>
    <w:rsid w:val="00E92D4D"/>
    <w:rsid w:val="00E92E45"/>
    <w:rsid w:val="00E92F93"/>
    <w:rsid w:val="00E93034"/>
    <w:rsid w:val="00E930BB"/>
    <w:rsid w:val="00E9311D"/>
    <w:rsid w:val="00E931C8"/>
    <w:rsid w:val="00E933BE"/>
    <w:rsid w:val="00E93670"/>
    <w:rsid w:val="00E943C9"/>
    <w:rsid w:val="00E9442F"/>
    <w:rsid w:val="00E94602"/>
    <w:rsid w:val="00E947C9"/>
    <w:rsid w:val="00E94973"/>
    <w:rsid w:val="00E94CF2"/>
    <w:rsid w:val="00E94E44"/>
    <w:rsid w:val="00E95110"/>
    <w:rsid w:val="00E951AD"/>
    <w:rsid w:val="00E952F2"/>
    <w:rsid w:val="00E953A5"/>
    <w:rsid w:val="00E95889"/>
    <w:rsid w:val="00E95A83"/>
    <w:rsid w:val="00E95C3B"/>
    <w:rsid w:val="00E95C76"/>
    <w:rsid w:val="00E95CD8"/>
    <w:rsid w:val="00E95E04"/>
    <w:rsid w:val="00E95E7D"/>
    <w:rsid w:val="00E960E6"/>
    <w:rsid w:val="00E963E4"/>
    <w:rsid w:val="00E96962"/>
    <w:rsid w:val="00E96ACC"/>
    <w:rsid w:val="00E96D3D"/>
    <w:rsid w:val="00E96DDB"/>
    <w:rsid w:val="00E96E8A"/>
    <w:rsid w:val="00E97035"/>
    <w:rsid w:val="00E97173"/>
    <w:rsid w:val="00E9735D"/>
    <w:rsid w:val="00E97686"/>
    <w:rsid w:val="00E97695"/>
    <w:rsid w:val="00E97747"/>
    <w:rsid w:val="00E97967"/>
    <w:rsid w:val="00E979D1"/>
    <w:rsid w:val="00EA03F7"/>
    <w:rsid w:val="00EA0426"/>
    <w:rsid w:val="00EA0799"/>
    <w:rsid w:val="00EA0A8A"/>
    <w:rsid w:val="00EA0DCC"/>
    <w:rsid w:val="00EA0EB1"/>
    <w:rsid w:val="00EA0ED4"/>
    <w:rsid w:val="00EA10F8"/>
    <w:rsid w:val="00EA1185"/>
    <w:rsid w:val="00EA119D"/>
    <w:rsid w:val="00EA1352"/>
    <w:rsid w:val="00EA13ED"/>
    <w:rsid w:val="00EA1585"/>
    <w:rsid w:val="00EA1612"/>
    <w:rsid w:val="00EA1633"/>
    <w:rsid w:val="00EA1720"/>
    <w:rsid w:val="00EA17F9"/>
    <w:rsid w:val="00EA1A22"/>
    <w:rsid w:val="00EA1A63"/>
    <w:rsid w:val="00EA1A99"/>
    <w:rsid w:val="00EA1AEF"/>
    <w:rsid w:val="00EA1C21"/>
    <w:rsid w:val="00EA1CDB"/>
    <w:rsid w:val="00EA1D55"/>
    <w:rsid w:val="00EA1D82"/>
    <w:rsid w:val="00EA2213"/>
    <w:rsid w:val="00EA2306"/>
    <w:rsid w:val="00EA230C"/>
    <w:rsid w:val="00EA2476"/>
    <w:rsid w:val="00EA24B7"/>
    <w:rsid w:val="00EA2581"/>
    <w:rsid w:val="00EA2672"/>
    <w:rsid w:val="00EA2712"/>
    <w:rsid w:val="00EA27D6"/>
    <w:rsid w:val="00EA28CD"/>
    <w:rsid w:val="00EA2A65"/>
    <w:rsid w:val="00EA2AF7"/>
    <w:rsid w:val="00EA2EF4"/>
    <w:rsid w:val="00EA2FB7"/>
    <w:rsid w:val="00EA2FF1"/>
    <w:rsid w:val="00EA30C5"/>
    <w:rsid w:val="00EA31F3"/>
    <w:rsid w:val="00EA3501"/>
    <w:rsid w:val="00EA367A"/>
    <w:rsid w:val="00EA36E9"/>
    <w:rsid w:val="00EA3836"/>
    <w:rsid w:val="00EA38E1"/>
    <w:rsid w:val="00EA3F95"/>
    <w:rsid w:val="00EA3FC1"/>
    <w:rsid w:val="00EA43A0"/>
    <w:rsid w:val="00EA43A8"/>
    <w:rsid w:val="00EA4978"/>
    <w:rsid w:val="00EA4BDC"/>
    <w:rsid w:val="00EA4DA1"/>
    <w:rsid w:val="00EA4E2C"/>
    <w:rsid w:val="00EA4E2F"/>
    <w:rsid w:val="00EA4EF9"/>
    <w:rsid w:val="00EA500D"/>
    <w:rsid w:val="00EA50B0"/>
    <w:rsid w:val="00EA526E"/>
    <w:rsid w:val="00EA58E4"/>
    <w:rsid w:val="00EA595B"/>
    <w:rsid w:val="00EA59FC"/>
    <w:rsid w:val="00EA5A25"/>
    <w:rsid w:val="00EA5B0D"/>
    <w:rsid w:val="00EA5BBA"/>
    <w:rsid w:val="00EA5C69"/>
    <w:rsid w:val="00EA5F5B"/>
    <w:rsid w:val="00EA609F"/>
    <w:rsid w:val="00EA6181"/>
    <w:rsid w:val="00EA6345"/>
    <w:rsid w:val="00EA6587"/>
    <w:rsid w:val="00EA67D7"/>
    <w:rsid w:val="00EA67F9"/>
    <w:rsid w:val="00EA68CF"/>
    <w:rsid w:val="00EA690D"/>
    <w:rsid w:val="00EA6A2C"/>
    <w:rsid w:val="00EA6ADD"/>
    <w:rsid w:val="00EA6B41"/>
    <w:rsid w:val="00EA6BFC"/>
    <w:rsid w:val="00EA6C53"/>
    <w:rsid w:val="00EA6D0E"/>
    <w:rsid w:val="00EA6FF2"/>
    <w:rsid w:val="00EA71B7"/>
    <w:rsid w:val="00EA722C"/>
    <w:rsid w:val="00EA731C"/>
    <w:rsid w:val="00EA7994"/>
    <w:rsid w:val="00EA7A87"/>
    <w:rsid w:val="00EA7B2A"/>
    <w:rsid w:val="00EA7E3F"/>
    <w:rsid w:val="00EA7FB5"/>
    <w:rsid w:val="00EB010C"/>
    <w:rsid w:val="00EB01C1"/>
    <w:rsid w:val="00EB02B0"/>
    <w:rsid w:val="00EB0537"/>
    <w:rsid w:val="00EB053D"/>
    <w:rsid w:val="00EB081F"/>
    <w:rsid w:val="00EB0A54"/>
    <w:rsid w:val="00EB0CC8"/>
    <w:rsid w:val="00EB0D03"/>
    <w:rsid w:val="00EB0E9F"/>
    <w:rsid w:val="00EB0F89"/>
    <w:rsid w:val="00EB1053"/>
    <w:rsid w:val="00EB14B3"/>
    <w:rsid w:val="00EB159D"/>
    <w:rsid w:val="00EB161D"/>
    <w:rsid w:val="00EB18E0"/>
    <w:rsid w:val="00EB1AF4"/>
    <w:rsid w:val="00EB1BAA"/>
    <w:rsid w:val="00EB21E9"/>
    <w:rsid w:val="00EB228F"/>
    <w:rsid w:val="00EB2374"/>
    <w:rsid w:val="00EB238A"/>
    <w:rsid w:val="00EB2461"/>
    <w:rsid w:val="00EB2677"/>
    <w:rsid w:val="00EB2874"/>
    <w:rsid w:val="00EB29E3"/>
    <w:rsid w:val="00EB2A37"/>
    <w:rsid w:val="00EB2A7B"/>
    <w:rsid w:val="00EB2D82"/>
    <w:rsid w:val="00EB2EFB"/>
    <w:rsid w:val="00EB2F3C"/>
    <w:rsid w:val="00EB30C2"/>
    <w:rsid w:val="00EB314F"/>
    <w:rsid w:val="00EB32F8"/>
    <w:rsid w:val="00EB3686"/>
    <w:rsid w:val="00EB36BF"/>
    <w:rsid w:val="00EB3747"/>
    <w:rsid w:val="00EB375A"/>
    <w:rsid w:val="00EB3AEA"/>
    <w:rsid w:val="00EB3D2B"/>
    <w:rsid w:val="00EB4029"/>
    <w:rsid w:val="00EB4107"/>
    <w:rsid w:val="00EB425C"/>
    <w:rsid w:val="00EB441B"/>
    <w:rsid w:val="00EB4790"/>
    <w:rsid w:val="00EB48B0"/>
    <w:rsid w:val="00EB4977"/>
    <w:rsid w:val="00EB4A0A"/>
    <w:rsid w:val="00EB4CCE"/>
    <w:rsid w:val="00EB4E57"/>
    <w:rsid w:val="00EB4EC5"/>
    <w:rsid w:val="00EB4FFE"/>
    <w:rsid w:val="00EB5054"/>
    <w:rsid w:val="00EB50D0"/>
    <w:rsid w:val="00EB5297"/>
    <w:rsid w:val="00EB541B"/>
    <w:rsid w:val="00EB5430"/>
    <w:rsid w:val="00EB5475"/>
    <w:rsid w:val="00EB54CE"/>
    <w:rsid w:val="00EB56BA"/>
    <w:rsid w:val="00EB59D3"/>
    <w:rsid w:val="00EB5CE5"/>
    <w:rsid w:val="00EB5E87"/>
    <w:rsid w:val="00EB5E89"/>
    <w:rsid w:val="00EB5FCE"/>
    <w:rsid w:val="00EB618D"/>
    <w:rsid w:val="00EB61D6"/>
    <w:rsid w:val="00EB645E"/>
    <w:rsid w:val="00EB64D2"/>
    <w:rsid w:val="00EB679B"/>
    <w:rsid w:val="00EB684D"/>
    <w:rsid w:val="00EB6A01"/>
    <w:rsid w:val="00EB6AB4"/>
    <w:rsid w:val="00EB7104"/>
    <w:rsid w:val="00EB71B2"/>
    <w:rsid w:val="00EB723A"/>
    <w:rsid w:val="00EB731D"/>
    <w:rsid w:val="00EB7366"/>
    <w:rsid w:val="00EB739F"/>
    <w:rsid w:val="00EB7416"/>
    <w:rsid w:val="00EB744D"/>
    <w:rsid w:val="00EB7450"/>
    <w:rsid w:val="00EB7640"/>
    <w:rsid w:val="00EB78CE"/>
    <w:rsid w:val="00EB796A"/>
    <w:rsid w:val="00EB7AB6"/>
    <w:rsid w:val="00EB7C35"/>
    <w:rsid w:val="00EB7DA0"/>
    <w:rsid w:val="00EB7F47"/>
    <w:rsid w:val="00EB7F98"/>
    <w:rsid w:val="00EC0077"/>
    <w:rsid w:val="00EC02E0"/>
    <w:rsid w:val="00EC0346"/>
    <w:rsid w:val="00EC045B"/>
    <w:rsid w:val="00EC0683"/>
    <w:rsid w:val="00EC0737"/>
    <w:rsid w:val="00EC07E4"/>
    <w:rsid w:val="00EC07EF"/>
    <w:rsid w:val="00EC0AAD"/>
    <w:rsid w:val="00EC0AB7"/>
    <w:rsid w:val="00EC0C64"/>
    <w:rsid w:val="00EC0CA9"/>
    <w:rsid w:val="00EC0CDE"/>
    <w:rsid w:val="00EC0D1E"/>
    <w:rsid w:val="00EC0DAC"/>
    <w:rsid w:val="00EC0FC0"/>
    <w:rsid w:val="00EC103F"/>
    <w:rsid w:val="00EC105D"/>
    <w:rsid w:val="00EC1069"/>
    <w:rsid w:val="00EC109C"/>
    <w:rsid w:val="00EC15A0"/>
    <w:rsid w:val="00EC1680"/>
    <w:rsid w:val="00EC173F"/>
    <w:rsid w:val="00EC182E"/>
    <w:rsid w:val="00EC1914"/>
    <w:rsid w:val="00EC1A63"/>
    <w:rsid w:val="00EC1A8A"/>
    <w:rsid w:val="00EC1A98"/>
    <w:rsid w:val="00EC1B96"/>
    <w:rsid w:val="00EC1DAE"/>
    <w:rsid w:val="00EC1E32"/>
    <w:rsid w:val="00EC1EF1"/>
    <w:rsid w:val="00EC1F7F"/>
    <w:rsid w:val="00EC23C6"/>
    <w:rsid w:val="00EC2473"/>
    <w:rsid w:val="00EC2663"/>
    <w:rsid w:val="00EC270F"/>
    <w:rsid w:val="00EC281B"/>
    <w:rsid w:val="00EC2857"/>
    <w:rsid w:val="00EC28EF"/>
    <w:rsid w:val="00EC2938"/>
    <w:rsid w:val="00EC2A7F"/>
    <w:rsid w:val="00EC2B87"/>
    <w:rsid w:val="00EC2BBC"/>
    <w:rsid w:val="00EC2BD7"/>
    <w:rsid w:val="00EC2CF6"/>
    <w:rsid w:val="00EC2DFC"/>
    <w:rsid w:val="00EC2E68"/>
    <w:rsid w:val="00EC2ECA"/>
    <w:rsid w:val="00EC30A2"/>
    <w:rsid w:val="00EC333E"/>
    <w:rsid w:val="00EC3443"/>
    <w:rsid w:val="00EC3707"/>
    <w:rsid w:val="00EC3DAC"/>
    <w:rsid w:val="00EC413C"/>
    <w:rsid w:val="00EC423F"/>
    <w:rsid w:val="00EC44F1"/>
    <w:rsid w:val="00EC48BD"/>
    <w:rsid w:val="00EC4A27"/>
    <w:rsid w:val="00EC4A76"/>
    <w:rsid w:val="00EC4A93"/>
    <w:rsid w:val="00EC4BB1"/>
    <w:rsid w:val="00EC4E50"/>
    <w:rsid w:val="00EC529A"/>
    <w:rsid w:val="00EC52B2"/>
    <w:rsid w:val="00EC5583"/>
    <w:rsid w:val="00EC56C2"/>
    <w:rsid w:val="00EC5766"/>
    <w:rsid w:val="00EC5994"/>
    <w:rsid w:val="00EC59FC"/>
    <w:rsid w:val="00EC5AC3"/>
    <w:rsid w:val="00EC5AD1"/>
    <w:rsid w:val="00EC5C22"/>
    <w:rsid w:val="00EC5C78"/>
    <w:rsid w:val="00EC6011"/>
    <w:rsid w:val="00EC6050"/>
    <w:rsid w:val="00EC607D"/>
    <w:rsid w:val="00EC60DE"/>
    <w:rsid w:val="00EC61F5"/>
    <w:rsid w:val="00EC6336"/>
    <w:rsid w:val="00EC63EC"/>
    <w:rsid w:val="00EC6525"/>
    <w:rsid w:val="00EC686D"/>
    <w:rsid w:val="00EC6AA0"/>
    <w:rsid w:val="00EC6EA5"/>
    <w:rsid w:val="00EC6F31"/>
    <w:rsid w:val="00EC6F4A"/>
    <w:rsid w:val="00EC7043"/>
    <w:rsid w:val="00EC716C"/>
    <w:rsid w:val="00EC718D"/>
    <w:rsid w:val="00EC72A8"/>
    <w:rsid w:val="00EC7618"/>
    <w:rsid w:val="00EC7771"/>
    <w:rsid w:val="00EC7782"/>
    <w:rsid w:val="00EC7991"/>
    <w:rsid w:val="00EC7AE8"/>
    <w:rsid w:val="00EC7E6E"/>
    <w:rsid w:val="00ED0032"/>
    <w:rsid w:val="00ED0091"/>
    <w:rsid w:val="00ED020B"/>
    <w:rsid w:val="00ED05A0"/>
    <w:rsid w:val="00ED0754"/>
    <w:rsid w:val="00ED0786"/>
    <w:rsid w:val="00ED0900"/>
    <w:rsid w:val="00ED0C24"/>
    <w:rsid w:val="00ED0CB6"/>
    <w:rsid w:val="00ED0D32"/>
    <w:rsid w:val="00ED0D3E"/>
    <w:rsid w:val="00ED12AC"/>
    <w:rsid w:val="00ED13E4"/>
    <w:rsid w:val="00ED1447"/>
    <w:rsid w:val="00ED1635"/>
    <w:rsid w:val="00ED1960"/>
    <w:rsid w:val="00ED1ADC"/>
    <w:rsid w:val="00ED1D04"/>
    <w:rsid w:val="00ED2062"/>
    <w:rsid w:val="00ED2237"/>
    <w:rsid w:val="00ED233B"/>
    <w:rsid w:val="00ED2381"/>
    <w:rsid w:val="00ED23BD"/>
    <w:rsid w:val="00ED23F8"/>
    <w:rsid w:val="00ED2908"/>
    <w:rsid w:val="00ED2BB6"/>
    <w:rsid w:val="00ED2D51"/>
    <w:rsid w:val="00ED2E91"/>
    <w:rsid w:val="00ED2F09"/>
    <w:rsid w:val="00ED325F"/>
    <w:rsid w:val="00ED3463"/>
    <w:rsid w:val="00ED35B7"/>
    <w:rsid w:val="00ED360D"/>
    <w:rsid w:val="00ED36B8"/>
    <w:rsid w:val="00ED3796"/>
    <w:rsid w:val="00ED3B49"/>
    <w:rsid w:val="00ED3B69"/>
    <w:rsid w:val="00ED3D95"/>
    <w:rsid w:val="00ED42AD"/>
    <w:rsid w:val="00ED434E"/>
    <w:rsid w:val="00ED43D3"/>
    <w:rsid w:val="00ED4402"/>
    <w:rsid w:val="00ED44FE"/>
    <w:rsid w:val="00ED482D"/>
    <w:rsid w:val="00ED4EFA"/>
    <w:rsid w:val="00ED4F22"/>
    <w:rsid w:val="00ED4F28"/>
    <w:rsid w:val="00ED5087"/>
    <w:rsid w:val="00ED5172"/>
    <w:rsid w:val="00ED5318"/>
    <w:rsid w:val="00ED532F"/>
    <w:rsid w:val="00ED552A"/>
    <w:rsid w:val="00ED5704"/>
    <w:rsid w:val="00ED5749"/>
    <w:rsid w:val="00ED5959"/>
    <w:rsid w:val="00ED5BD2"/>
    <w:rsid w:val="00ED5D39"/>
    <w:rsid w:val="00ED5E6A"/>
    <w:rsid w:val="00ED5FD2"/>
    <w:rsid w:val="00ED6040"/>
    <w:rsid w:val="00ED64AF"/>
    <w:rsid w:val="00ED676A"/>
    <w:rsid w:val="00ED67AC"/>
    <w:rsid w:val="00ED68FC"/>
    <w:rsid w:val="00ED6929"/>
    <w:rsid w:val="00ED6A17"/>
    <w:rsid w:val="00ED6B14"/>
    <w:rsid w:val="00ED6E00"/>
    <w:rsid w:val="00ED6E65"/>
    <w:rsid w:val="00ED6EF2"/>
    <w:rsid w:val="00ED71F1"/>
    <w:rsid w:val="00ED7560"/>
    <w:rsid w:val="00ED7738"/>
    <w:rsid w:val="00ED7C8B"/>
    <w:rsid w:val="00ED7CDC"/>
    <w:rsid w:val="00ED7D59"/>
    <w:rsid w:val="00ED7FE1"/>
    <w:rsid w:val="00EE027B"/>
    <w:rsid w:val="00EE02D8"/>
    <w:rsid w:val="00EE03ED"/>
    <w:rsid w:val="00EE0456"/>
    <w:rsid w:val="00EE04FB"/>
    <w:rsid w:val="00EE0670"/>
    <w:rsid w:val="00EE0946"/>
    <w:rsid w:val="00EE0B1F"/>
    <w:rsid w:val="00EE101A"/>
    <w:rsid w:val="00EE10B5"/>
    <w:rsid w:val="00EE172A"/>
    <w:rsid w:val="00EE19D4"/>
    <w:rsid w:val="00EE1B86"/>
    <w:rsid w:val="00EE1D28"/>
    <w:rsid w:val="00EE1F01"/>
    <w:rsid w:val="00EE202C"/>
    <w:rsid w:val="00EE217C"/>
    <w:rsid w:val="00EE245A"/>
    <w:rsid w:val="00EE246C"/>
    <w:rsid w:val="00EE26B4"/>
    <w:rsid w:val="00EE29F3"/>
    <w:rsid w:val="00EE2A35"/>
    <w:rsid w:val="00EE2AF5"/>
    <w:rsid w:val="00EE2B82"/>
    <w:rsid w:val="00EE2D35"/>
    <w:rsid w:val="00EE2E36"/>
    <w:rsid w:val="00EE2F62"/>
    <w:rsid w:val="00EE3279"/>
    <w:rsid w:val="00EE359C"/>
    <w:rsid w:val="00EE35A5"/>
    <w:rsid w:val="00EE35A7"/>
    <w:rsid w:val="00EE3640"/>
    <w:rsid w:val="00EE3664"/>
    <w:rsid w:val="00EE3820"/>
    <w:rsid w:val="00EE391A"/>
    <w:rsid w:val="00EE3939"/>
    <w:rsid w:val="00EE394F"/>
    <w:rsid w:val="00EE39DE"/>
    <w:rsid w:val="00EE3AD0"/>
    <w:rsid w:val="00EE3B12"/>
    <w:rsid w:val="00EE3DEA"/>
    <w:rsid w:val="00EE3E6E"/>
    <w:rsid w:val="00EE3F72"/>
    <w:rsid w:val="00EE406C"/>
    <w:rsid w:val="00EE40EC"/>
    <w:rsid w:val="00EE4429"/>
    <w:rsid w:val="00EE443F"/>
    <w:rsid w:val="00EE4664"/>
    <w:rsid w:val="00EE4688"/>
    <w:rsid w:val="00EE46D4"/>
    <w:rsid w:val="00EE499B"/>
    <w:rsid w:val="00EE4CDE"/>
    <w:rsid w:val="00EE4F29"/>
    <w:rsid w:val="00EE50F1"/>
    <w:rsid w:val="00EE5435"/>
    <w:rsid w:val="00EE566D"/>
    <w:rsid w:val="00EE5850"/>
    <w:rsid w:val="00EE58DD"/>
    <w:rsid w:val="00EE5929"/>
    <w:rsid w:val="00EE59EB"/>
    <w:rsid w:val="00EE5B92"/>
    <w:rsid w:val="00EE5E22"/>
    <w:rsid w:val="00EE6000"/>
    <w:rsid w:val="00EE6050"/>
    <w:rsid w:val="00EE6326"/>
    <w:rsid w:val="00EE671E"/>
    <w:rsid w:val="00EE6735"/>
    <w:rsid w:val="00EE673C"/>
    <w:rsid w:val="00EE679D"/>
    <w:rsid w:val="00EE68A2"/>
    <w:rsid w:val="00EE68C4"/>
    <w:rsid w:val="00EE6A32"/>
    <w:rsid w:val="00EE6BC3"/>
    <w:rsid w:val="00EE6E10"/>
    <w:rsid w:val="00EE6FE1"/>
    <w:rsid w:val="00EE792F"/>
    <w:rsid w:val="00EE7AAD"/>
    <w:rsid w:val="00EE7CFD"/>
    <w:rsid w:val="00EE7E06"/>
    <w:rsid w:val="00EE7E8B"/>
    <w:rsid w:val="00EF002A"/>
    <w:rsid w:val="00EF01CE"/>
    <w:rsid w:val="00EF0267"/>
    <w:rsid w:val="00EF03E6"/>
    <w:rsid w:val="00EF049E"/>
    <w:rsid w:val="00EF0780"/>
    <w:rsid w:val="00EF09AA"/>
    <w:rsid w:val="00EF0B21"/>
    <w:rsid w:val="00EF0F8F"/>
    <w:rsid w:val="00EF10FF"/>
    <w:rsid w:val="00EF1132"/>
    <w:rsid w:val="00EF12D1"/>
    <w:rsid w:val="00EF1537"/>
    <w:rsid w:val="00EF1641"/>
    <w:rsid w:val="00EF1921"/>
    <w:rsid w:val="00EF193D"/>
    <w:rsid w:val="00EF1C6D"/>
    <w:rsid w:val="00EF232B"/>
    <w:rsid w:val="00EF2A3B"/>
    <w:rsid w:val="00EF2FC7"/>
    <w:rsid w:val="00EF305D"/>
    <w:rsid w:val="00EF3394"/>
    <w:rsid w:val="00EF3682"/>
    <w:rsid w:val="00EF372C"/>
    <w:rsid w:val="00EF3866"/>
    <w:rsid w:val="00EF3A81"/>
    <w:rsid w:val="00EF3C4E"/>
    <w:rsid w:val="00EF3C99"/>
    <w:rsid w:val="00EF3D9A"/>
    <w:rsid w:val="00EF3FC3"/>
    <w:rsid w:val="00EF409C"/>
    <w:rsid w:val="00EF431E"/>
    <w:rsid w:val="00EF4637"/>
    <w:rsid w:val="00EF4645"/>
    <w:rsid w:val="00EF47FF"/>
    <w:rsid w:val="00EF4A31"/>
    <w:rsid w:val="00EF4AFF"/>
    <w:rsid w:val="00EF4D60"/>
    <w:rsid w:val="00EF4E78"/>
    <w:rsid w:val="00EF4E93"/>
    <w:rsid w:val="00EF5168"/>
    <w:rsid w:val="00EF5177"/>
    <w:rsid w:val="00EF52E5"/>
    <w:rsid w:val="00EF533D"/>
    <w:rsid w:val="00EF5560"/>
    <w:rsid w:val="00EF55B6"/>
    <w:rsid w:val="00EF59A9"/>
    <w:rsid w:val="00EF5CA0"/>
    <w:rsid w:val="00EF5E6E"/>
    <w:rsid w:val="00EF5FAF"/>
    <w:rsid w:val="00EF6081"/>
    <w:rsid w:val="00EF616F"/>
    <w:rsid w:val="00EF6247"/>
    <w:rsid w:val="00EF62FB"/>
    <w:rsid w:val="00EF6310"/>
    <w:rsid w:val="00EF6531"/>
    <w:rsid w:val="00EF664D"/>
    <w:rsid w:val="00EF66E4"/>
    <w:rsid w:val="00EF67AB"/>
    <w:rsid w:val="00EF6887"/>
    <w:rsid w:val="00EF6ABC"/>
    <w:rsid w:val="00EF6BFA"/>
    <w:rsid w:val="00EF6C1D"/>
    <w:rsid w:val="00EF6E63"/>
    <w:rsid w:val="00EF6EC5"/>
    <w:rsid w:val="00EF715B"/>
    <w:rsid w:val="00EF738F"/>
    <w:rsid w:val="00EF7412"/>
    <w:rsid w:val="00EF757E"/>
    <w:rsid w:val="00EF7ADE"/>
    <w:rsid w:val="00EF7D72"/>
    <w:rsid w:val="00F0001B"/>
    <w:rsid w:val="00F0015F"/>
    <w:rsid w:val="00F00266"/>
    <w:rsid w:val="00F00423"/>
    <w:rsid w:val="00F004B4"/>
    <w:rsid w:val="00F0074B"/>
    <w:rsid w:val="00F00CBF"/>
    <w:rsid w:val="00F00CD4"/>
    <w:rsid w:val="00F00EA7"/>
    <w:rsid w:val="00F010F1"/>
    <w:rsid w:val="00F0112E"/>
    <w:rsid w:val="00F01280"/>
    <w:rsid w:val="00F0128E"/>
    <w:rsid w:val="00F01384"/>
    <w:rsid w:val="00F013E4"/>
    <w:rsid w:val="00F01411"/>
    <w:rsid w:val="00F016B6"/>
    <w:rsid w:val="00F018B6"/>
    <w:rsid w:val="00F01A83"/>
    <w:rsid w:val="00F01D4A"/>
    <w:rsid w:val="00F01D85"/>
    <w:rsid w:val="00F01EBD"/>
    <w:rsid w:val="00F020A1"/>
    <w:rsid w:val="00F02159"/>
    <w:rsid w:val="00F02180"/>
    <w:rsid w:val="00F0226C"/>
    <w:rsid w:val="00F02399"/>
    <w:rsid w:val="00F02513"/>
    <w:rsid w:val="00F02908"/>
    <w:rsid w:val="00F02A48"/>
    <w:rsid w:val="00F02AB4"/>
    <w:rsid w:val="00F02BEC"/>
    <w:rsid w:val="00F02EBF"/>
    <w:rsid w:val="00F03087"/>
    <w:rsid w:val="00F0313C"/>
    <w:rsid w:val="00F0319D"/>
    <w:rsid w:val="00F0347E"/>
    <w:rsid w:val="00F03BD0"/>
    <w:rsid w:val="00F03CCA"/>
    <w:rsid w:val="00F03E21"/>
    <w:rsid w:val="00F03E23"/>
    <w:rsid w:val="00F03E5C"/>
    <w:rsid w:val="00F04097"/>
    <w:rsid w:val="00F04306"/>
    <w:rsid w:val="00F04317"/>
    <w:rsid w:val="00F04658"/>
    <w:rsid w:val="00F047D1"/>
    <w:rsid w:val="00F0488E"/>
    <w:rsid w:val="00F048F0"/>
    <w:rsid w:val="00F04AFB"/>
    <w:rsid w:val="00F04FC1"/>
    <w:rsid w:val="00F051DA"/>
    <w:rsid w:val="00F053D8"/>
    <w:rsid w:val="00F0543E"/>
    <w:rsid w:val="00F05A5F"/>
    <w:rsid w:val="00F05AD5"/>
    <w:rsid w:val="00F05C93"/>
    <w:rsid w:val="00F05DB4"/>
    <w:rsid w:val="00F05E6B"/>
    <w:rsid w:val="00F05E6C"/>
    <w:rsid w:val="00F05FD1"/>
    <w:rsid w:val="00F06003"/>
    <w:rsid w:val="00F0613D"/>
    <w:rsid w:val="00F06151"/>
    <w:rsid w:val="00F06315"/>
    <w:rsid w:val="00F0651E"/>
    <w:rsid w:val="00F067BC"/>
    <w:rsid w:val="00F06A8F"/>
    <w:rsid w:val="00F06B3C"/>
    <w:rsid w:val="00F06BCD"/>
    <w:rsid w:val="00F06D17"/>
    <w:rsid w:val="00F06D63"/>
    <w:rsid w:val="00F06D9E"/>
    <w:rsid w:val="00F06DD5"/>
    <w:rsid w:val="00F06FA3"/>
    <w:rsid w:val="00F0709A"/>
    <w:rsid w:val="00F07179"/>
    <w:rsid w:val="00F0719B"/>
    <w:rsid w:val="00F071FB"/>
    <w:rsid w:val="00F0729B"/>
    <w:rsid w:val="00F07368"/>
    <w:rsid w:val="00F07A8C"/>
    <w:rsid w:val="00F07C01"/>
    <w:rsid w:val="00F07D19"/>
    <w:rsid w:val="00F1000F"/>
    <w:rsid w:val="00F10484"/>
    <w:rsid w:val="00F105E6"/>
    <w:rsid w:val="00F10686"/>
    <w:rsid w:val="00F10778"/>
    <w:rsid w:val="00F10864"/>
    <w:rsid w:val="00F108AF"/>
    <w:rsid w:val="00F1092F"/>
    <w:rsid w:val="00F10C02"/>
    <w:rsid w:val="00F10CD4"/>
    <w:rsid w:val="00F10EE2"/>
    <w:rsid w:val="00F1116E"/>
    <w:rsid w:val="00F11271"/>
    <w:rsid w:val="00F112C7"/>
    <w:rsid w:val="00F11512"/>
    <w:rsid w:val="00F118A6"/>
    <w:rsid w:val="00F118DA"/>
    <w:rsid w:val="00F11B3A"/>
    <w:rsid w:val="00F11B3D"/>
    <w:rsid w:val="00F1208F"/>
    <w:rsid w:val="00F1219C"/>
    <w:rsid w:val="00F12523"/>
    <w:rsid w:val="00F12700"/>
    <w:rsid w:val="00F12701"/>
    <w:rsid w:val="00F128E8"/>
    <w:rsid w:val="00F12CDB"/>
    <w:rsid w:val="00F12E88"/>
    <w:rsid w:val="00F12F81"/>
    <w:rsid w:val="00F13078"/>
    <w:rsid w:val="00F13131"/>
    <w:rsid w:val="00F131A7"/>
    <w:rsid w:val="00F1349D"/>
    <w:rsid w:val="00F13567"/>
    <w:rsid w:val="00F13572"/>
    <w:rsid w:val="00F137DF"/>
    <w:rsid w:val="00F1394D"/>
    <w:rsid w:val="00F13A32"/>
    <w:rsid w:val="00F13AD0"/>
    <w:rsid w:val="00F13F6A"/>
    <w:rsid w:val="00F14208"/>
    <w:rsid w:val="00F1427D"/>
    <w:rsid w:val="00F14691"/>
    <w:rsid w:val="00F147A6"/>
    <w:rsid w:val="00F147B5"/>
    <w:rsid w:val="00F149A0"/>
    <w:rsid w:val="00F14A3F"/>
    <w:rsid w:val="00F14DE0"/>
    <w:rsid w:val="00F14FF1"/>
    <w:rsid w:val="00F15008"/>
    <w:rsid w:val="00F1523E"/>
    <w:rsid w:val="00F15804"/>
    <w:rsid w:val="00F158A9"/>
    <w:rsid w:val="00F15AA4"/>
    <w:rsid w:val="00F15B32"/>
    <w:rsid w:val="00F15BAB"/>
    <w:rsid w:val="00F15CAD"/>
    <w:rsid w:val="00F15FAD"/>
    <w:rsid w:val="00F160EA"/>
    <w:rsid w:val="00F16142"/>
    <w:rsid w:val="00F165CE"/>
    <w:rsid w:val="00F1661F"/>
    <w:rsid w:val="00F167CA"/>
    <w:rsid w:val="00F1684F"/>
    <w:rsid w:val="00F16A76"/>
    <w:rsid w:val="00F16B9A"/>
    <w:rsid w:val="00F16C28"/>
    <w:rsid w:val="00F16F69"/>
    <w:rsid w:val="00F16FA2"/>
    <w:rsid w:val="00F17045"/>
    <w:rsid w:val="00F1711B"/>
    <w:rsid w:val="00F1713B"/>
    <w:rsid w:val="00F17556"/>
    <w:rsid w:val="00F17A11"/>
    <w:rsid w:val="00F17A38"/>
    <w:rsid w:val="00F17C9F"/>
    <w:rsid w:val="00F17D64"/>
    <w:rsid w:val="00F17D9F"/>
    <w:rsid w:val="00F2006E"/>
    <w:rsid w:val="00F2009F"/>
    <w:rsid w:val="00F204B6"/>
    <w:rsid w:val="00F2056B"/>
    <w:rsid w:val="00F20790"/>
    <w:rsid w:val="00F2086D"/>
    <w:rsid w:val="00F20B04"/>
    <w:rsid w:val="00F20D8E"/>
    <w:rsid w:val="00F20E73"/>
    <w:rsid w:val="00F20FFF"/>
    <w:rsid w:val="00F21036"/>
    <w:rsid w:val="00F21202"/>
    <w:rsid w:val="00F21281"/>
    <w:rsid w:val="00F2164A"/>
    <w:rsid w:val="00F21666"/>
    <w:rsid w:val="00F21763"/>
    <w:rsid w:val="00F219E1"/>
    <w:rsid w:val="00F21A30"/>
    <w:rsid w:val="00F21A5C"/>
    <w:rsid w:val="00F21A91"/>
    <w:rsid w:val="00F21E9D"/>
    <w:rsid w:val="00F21EA0"/>
    <w:rsid w:val="00F2210F"/>
    <w:rsid w:val="00F22191"/>
    <w:rsid w:val="00F221D6"/>
    <w:rsid w:val="00F223A6"/>
    <w:rsid w:val="00F22524"/>
    <w:rsid w:val="00F22757"/>
    <w:rsid w:val="00F228C9"/>
    <w:rsid w:val="00F22AB8"/>
    <w:rsid w:val="00F22B25"/>
    <w:rsid w:val="00F22BDF"/>
    <w:rsid w:val="00F22C76"/>
    <w:rsid w:val="00F22D2F"/>
    <w:rsid w:val="00F22D7E"/>
    <w:rsid w:val="00F23297"/>
    <w:rsid w:val="00F2332C"/>
    <w:rsid w:val="00F233B3"/>
    <w:rsid w:val="00F2360C"/>
    <w:rsid w:val="00F2380A"/>
    <w:rsid w:val="00F2381B"/>
    <w:rsid w:val="00F2384D"/>
    <w:rsid w:val="00F23976"/>
    <w:rsid w:val="00F23DC2"/>
    <w:rsid w:val="00F23EFE"/>
    <w:rsid w:val="00F24045"/>
    <w:rsid w:val="00F240BB"/>
    <w:rsid w:val="00F24118"/>
    <w:rsid w:val="00F24212"/>
    <w:rsid w:val="00F24224"/>
    <w:rsid w:val="00F242AD"/>
    <w:rsid w:val="00F2436F"/>
    <w:rsid w:val="00F24748"/>
    <w:rsid w:val="00F247B3"/>
    <w:rsid w:val="00F24962"/>
    <w:rsid w:val="00F24A1E"/>
    <w:rsid w:val="00F24A66"/>
    <w:rsid w:val="00F24B17"/>
    <w:rsid w:val="00F24BAB"/>
    <w:rsid w:val="00F24D19"/>
    <w:rsid w:val="00F24DA2"/>
    <w:rsid w:val="00F24DE5"/>
    <w:rsid w:val="00F24F45"/>
    <w:rsid w:val="00F252D9"/>
    <w:rsid w:val="00F2536B"/>
    <w:rsid w:val="00F259E7"/>
    <w:rsid w:val="00F25B55"/>
    <w:rsid w:val="00F25C5F"/>
    <w:rsid w:val="00F25C94"/>
    <w:rsid w:val="00F25D2D"/>
    <w:rsid w:val="00F260B8"/>
    <w:rsid w:val="00F260F6"/>
    <w:rsid w:val="00F2611B"/>
    <w:rsid w:val="00F26157"/>
    <w:rsid w:val="00F26317"/>
    <w:rsid w:val="00F263C2"/>
    <w:rsid w:val="00F2648E"/>
    <w:rsid w:val="00F2656F"/>
    <w:rsid w:val="00F265D9"/>
    <w:rsid w:val="00F266F2"/>
    <w:rsid w:val="00F266F9"/>
    <w:rsid w:val="00F26A56"/>
    <w:rsid w:val="00F26E19"/>
    <w:rsid w:val="00F271BE"/>
    <w:rsid w:val="00F27426"/>
    <w:rsid w:val="00F27490"/>
    <w:rsid w:val="00F27967"/>
    <w:rsid w:val="00F27BB3"/>
    <w:rsid w:val="00F27E18"/>
    <w:rsid w:val="00F300CD"/>
    <w:rsid w:val="00F300E8"/>
    <w:rsid w:val="00F304E0"/>
    <w:rsid w:val="00F304E6"/>
    <w:rsid w:val="00F307FB"/>
    <w:rsid w:val="00F30900"/>
    <w:rsid w:val="00F30996"/>
    <w:rsid w:val="00F30A88"/>
    <w:rsid w:val="00F30B35"/>
    <w:rsid w:val="00F30E6C"/>
    <w:rsid w:val="00F30EBE"/>
    <w:rsid w:val="00F30F34"/>
    <w:rsid w:val="00F30FD8"/>
    <w:rsid w:val="00F30FE9"/>
    <w:rsid w:val="00F311A1"/>
    <w:rsid w:val="00F31259"/>
    <w:rsid w:val="00F314DC"/>
    <w:rsid w:val="00F31B56"/>
    <w:rsid w:val="00F320D1"/>
    <w:rsid w:val="00F32146"/>
    <w:rsid w:val="00F32744"/>
    <w:rsid w:val="00F32A23"/>
    <w:rsid w:val="00F32A81"/>
    <w:rsid w:val="00F32B30"/>
    <w:rsid w:val="00F32E38"/>
    <w:rsid w:val="00F33181"/>
    <w:rsid w:val="00F335AC"/>
    <w:rsid w:val="00F33815"/>
    <w:rsid w:val="00F33C37"/>
    <w:rsid w:val="00F33E38"/>
    <w:rsid w:val="00F33F4A"/>
    <w:rsid w:val="00F3421F"/>
    <w:rsid w:val="00F349D0"/>
    <w:rsid w:val="00F34C66"/>
    <w:rsid w:val="00F34C99"/>
    <w:rsid w:val="00F350CF"/>
    <w:rsid w:val="00F350FB"/>
    <w:rsid w:val="00F35226"/>
    <w:rsid w:val="00F3528A"/>
    <w:rsid w:val="00F35299"/>
    <w:rsid w:val="00F352A8"/>
    <w:rsid w:val="00F353D7"/>
    <w:rsid w:val="00F354B8"/>
    <w:rsid w:val="00F35566"/>
    <w:rsid w:val="00F355D6"/>
    <w:rsid w:val="00F35698"/>
    <w:rsid w:val="00F35847"/>
    <w:rsid w:val="00F358B1"/>
    <w:rsid w:val="00F35AA4"/>
    <w:rsid w:val="00F35AB3"/>
    <w:rsid w:val="00F35BEF"/>
    <w:rsid w:val="00F35C6E"/>
    <w:rsid w:val="00F35ED7"/>
    <w:rsid w:val="00F35F30"/>
    <w:rsid w:val="00F35F37"/>
    <w:rsid w:val="00F3623B"/>
    <w:rsid w:val="00F3640D"/>
    <w:rsid w:val="00F364E0"/>
    <w:rsid w:val="00F364FB"/>
    <w:rsid w:val="00F36523"/>
    <w:rsid w:val="00F36738"/>
    <w:rsid w:val="00F36827"/>
    <w:rsid w:val="00F369FC"/>
    <w:rsid w:val="00F36C0E"/>
    <w:rsid w:val="00F36E5E"/>
    <w:rsid w:val="00F36FF3"/>
    <w:rsid w:val="00F370D8"/>
    <w:rsid w:val="00F372C7"/>
    <w:rsid w:val="00F372F3"/>
    <w:rsid w:val="00F37827"/>
    <w:rsid w:val="00F378B8"/>
    <w:rsid w:val="00F37D05"/>
    <w:rsid w:val="00F37D64"/>
    <w:rsid w:val="00F37D6D"/>
    <w:rsid w:val="00F37DC4"/>
    <w:rsid w:val="00F40258"/>
    <w:rsid w:val="00F40266"/>
    <w:rsid w:val="00F404C5"/>
    <w:rsid w:val="00F40710"/>
    <w:rsid w:val="00F40730"/>
    <w:rsid w:val="00F40A86"/>
    <w:rsid w:val="00F40D50"/>
    <w:rsid w:val="00F40EAC"/>
    <w:rsid w:val="00F40F02"/>
    <w:rsid w:val="00F40F6E"/>
    <w:rsid w:val="00F40FE3"/>
    <w:rsid w:val="00F411AC"/>
    <w:rsid w:val="00F412A9"/>
    <w:rsid w:val="00F414B9"/>
    <w:rsid w:val="00F414DE"/>
    <w:rsid w:val="00F4167F"/>
    <w:rsid w:val="00F4182E"/>
    <w:rsid w:val="00F41A89"/>
    <w:rsid w:val="00F41BCB"/>
    <w:rsid w:val="00F41BCE"/>
    <w:rsid w:val="00F41C44"/>
    <w:rsid w:val="00F41CE5"/>
    <w:rsid w:val="00F42178"/>
    <w:rsid w:val="00F4243E"/>
    <w:rsid w:val="00F42546"/>
    <w:rsid w:val="00F42619"/>
    <w:rsid w:val="00F426BE"/>
    <w:rsid w:val="00F42713"/>
    <w:rsid w:val="00F428A9"/>
    <w:rsid w:val="00F42B10"/>
    <w:rsid w:val="00F42F65"/>
    <w:rsid w:val="00F43061"/>
    <w:rsid w:val="00F43182"/>
    <w:rsid w:val="00F4344E"/>
    <w:rsid w:val="00F435A3"/>
    <w:rsid w:val="00F436E8"/>
    <w:rsid w:val="00F43BD2"/>
    <w:rsid w:val="00F43C4B"/>
    <w:rsid w:val="00F43D13"/>
    <w:rsid w:val="00F43D5B"/>
    <w:rsid w:val="00F43EBF"/>
    <w:rsid w:val="00F43F99"/>
    <w:rsid w:val="00F4400C"/>
    <w:rsid w:val="00F44101"/>
    <w:rsid w:val="00F442D5"/>
    <w:rsid w:val="00F4431C"/>
    <w:rsid w:val="00F4436A"/>
    <w:rsid w:val="00F447A5"/>
    <w:rsid w:val="00F44BF8"/>
    <w:rsid w:val="00F44CD5"/>
    <w:rsid w:val="00F44E86"/>
    <w:rsid w:val="00F450E7"/>
    <w:rsid w:val="00F4516A"/>
    <w:rsid w:val="00F452A6"/>
    <w:rsid w:val="00F45386"/>
    <w:rsid w:val="00F4558B"/>
    <w:rsid w:val="00F455F7"/>
    <w:rsid w:val="00F459A4"/>
    <w:rsid w:val="00F45B1A"/>
    <w:rsid w:val="00F45B30"/>
    <w:rsid w:val="00F45B79"/>
    <w:rsid w:val="00F45EA3"/>
    <w:rsid w:val="00F46195"/>
    <w:rsid w:val="00F462EF"/>
    <w:rsid w:val="00F46342"/>
    <w:rsid w:val="00F4662E"/>
    <w:rsid w:val="00F46699"/>
    <w:rsid w:val="00F46874"/>
    <w:rsid w:val="00F46B52"/>
    <w:rsid w:val="00F46C49"/>
    <w:rsid w:val="00F46EC4"/>
    <w:rsid w:val="00F4707D"/>
    <w:rsid w:val="00F470D1"/>
    <w:rsid w:val="00F471B2"/>
    <w:rsid w:val="00F4731D"/>
    <w:rsid w:val="00F47329"/>
    <w:rsid w:val="00F475FC"/>
    <w:rsid w:val="00F4761B"/>
    <w:rsid w:val="00F4783C"/>
    <w:rsid w:val="00F478CA"/>
    <w:rsid w:val="00F4799E"/>
    <w:rsid w:val="00F47A43"/>
    <w:rsid w:val="00F47CF5"/>
    <w:rsid w:val="00F47E42"/>
    <w:rsid w:val="00F5008B"/>
    <w:rsid w:val="00F50198"/>
    <w:rsid w:val="00F50316"/>
    <w:rsid w:val="00F50531"/>
    <w:rsid w:val="00F506AD"/>
    <w:rsid w:val="00F5095E"/>
    <w:rsid w:val="00F50B11"/>
    <w:rsid w:val="00F50C9B"/>
    <w:rsid w:val="00F50EB2"/>
    <w:rsid w:val="00F5119C"/>
    <w:rsid w:val="00F517CD"/>
    <w:rsid w:val="00F51A00"/>
    <w:rsid w:val="00F51D35"/>
    <w:rsid w:val="00F51D3D"/>
    <w:rsid w:val="00F51D58"/>
    <w:rsid w:val="00F51DEC"/>
    <w:rsid w:val="00F5225F"/>
    <w:rsid w:val="00F52391"/>
    <w:rsid w:val="00F523DF"/>
    <w:rsid w:val="00F524E8"/>
    <w:rsid w:val="00F5250E"/>
    <w:rsid w:val="00F5271C"/>
    <w:rsid w:val="00F527EB"/>
    <w:rsid w:val="00F52896"/>
    <w:rsid w:val="00F528EE"/>
    <w:rsid w:val="00F52912"/>
    <w:rsid w:val="00F52966"/>
    <w:rsid w:val="00F529BC"/>
    <w:rsid w:val="00F52D02"/>
    <w:rsid w:val="00F52E0E"/>
    <w:rsid w:val="00F52FE0"/>
    <w:rsid w:val="00F5319F"/>
    <w:rsid w:val="00F532D7"/>
    <w:rsid w:val="00F53375"/>
    <w:rsid w:val="00F5345F"/>
    <w:rsid w:val="00F53551"/>
    <w:rsid w:val="00F53586"/>
    <w:rsid w:val="00F53670"/>
    <w:rsid w:val="00F5375C"/>
    <w:rsid w:val="00F5376F"/>
    <w:rsid w:val="00F53913"/>
    <w:rsid w:val="00F5399E"/>
    <w:rsid w:val="00F53C63"/>
    <w:rsid w:val="00F53D18"/>
    <w:rsid w:val="00F541D1"/>
    <w:rsid w:val="00F54448"/>
    <w:rsid w:val="00F54849"/>
    <w:rsid w:val="00F54928"/>
    <w:rsid w:val="00F5493E"/>
    <w:rsid w:val="00F54C0F"/>
    <w:rsid w:val="00F54EAE"/>
    <w:rsid w:val="00F54EBB"/>
    <w:rsid w:val="00F55095"/>
    <w:rsid w:val="00F550AA"/>
    <w:rsid w:val="00F55478"/>
    <w:rsid w:val="00F55781"/>
    <w:rsid w:val="00F557AC"/>
    <w:rsid w:val="00F557F1"/>
    <w:rsid w:val="00F55B24"/>
    <w:rsid w:val="00F55CF8"/>
    <w:rsid w:val="00F55DC1"/>
    <w:rsid w:val="00F55DE2"/>
    <w:rsid w:val="00F55E8B"/>
    <w:rsid w:val="00F55F9A"/>
    <w:rsid w:val="00F55FF9"/>
    <w:rsid w:val="00F56094"/>
    <w:rsid w:val="00F56241"/>
    <w:rsid w:val="00F5625C"/>
    <w:rsid w:val="00F564EE"/>
    <w:rsid w:val="00F564FB"/>
    <w:rsid w:val="00F5670C"/>
    <w:rsid w:val="00F5671E"/>
    <w:rsid w:val="00F568A7"/>
    <w:rsid w:val="00F56D56"/>
    <w:rsid w:val="00F56EFA"/>
    <w:rsid w:val="00F572DD"/>
    <w:rsid w:val="00F57390"/>
    <w:rsid w:val="00F573D7"/>
    <w:rsid w:val="00F57615"/>
    <w:rsid w:val="00F579EC"/>
    <w:rsid w:val="00F57BFF"/>
    <w:rsid w:val="00F57CB7"/>
    <w:rsid w:val="00F57CE3"/>
    <w:rsid w:val="00F57D23"/>
    <w:rsid w:val="00F57E36"/>
    <w:rsid w:val="00F57E44"/>
    <w:rsid w:val="00F6000A"/>
    <w:rsid w:val="00F6009C"/>
    <w:rsid w:val="00F60179"/>
    <w:rsid w:val="00F60233"/>
    <w:rsid w:val="00F602CC"/>
    <w:rsid w:val="00F60352"/>
    <w:rsid w:val="00F6036B"/>
    <w:rsid w:val="00F603E8"/>
    <w:rsid w:val="00F6040E"/>
    <w:rsid w:val="00F609F3"/>
    <w:rsid w:val="00F60A57"/>
    <w:rsid w:val="00F60A97"/>
    <w:rsid w:val="00F60C4A"/>
    <w:rsid w:val="00F60CC7"/>
    <w:rsid w:val="00F60D3A"/>
    <w:rsid w:val="00F60D9A"/>
    <w:rsid w:val="00F60E1A"/>
    <w:rsid w:val="00F60F84"/>
    <w:rsid w:val="00F613F3"/>
    <w:rsid w:val="00F616AA"/>
    <w:rsid w:val="00F6194F"/>
    <w:rsid w:val="00F61B9F"/>
    <w:rsid w:val="00F61DCA"/>
    <w:rsid w:val="00F61DD0"/>
    <w:rsid w:val="00F61E7E"/>
    <w:rsid w:val="00F62072"/>
    <w:rsid w:val="00F6227B"/>
    <w:rsid w:val="00F627A1"/>
    <w:rsid w:val="00F627F3"/>
    <w:rsid w:val="00F629B3"/>
    <w:rsid w:val="00F62B81"/>
    <w:rsid w:val="00F62C92"/>
    <w:rsid w:val="00F62C9E"/>
    <w:rsid w:val="00F62DE2"/>
    <w:rsid w:val="00F6311E"/>
    <w:rsid w:val="00F631BB"/>
    <w:rsid w:val="00F631F3"/>
    <w:rsid w:val="00F6347C"/>
    <w:rsid w:val="00F6354B"/>
    <w:rsid w:val="00F6370A"/>
    <w:rsid w:val="00F63AE5"/>
    <w:rsid w:val="00F63F94"/>
    <w:rsid w:val="00F63FFE"/>
    <w:rsid w:val="00F6402E"/>
    <w:rsid w:val="00F6420F"/>
    <w:rsid w:val="00F643BD"/>
    <w:rsid w:val="00F6444F"/>
    <w:rsid w:val="00F644DE"/>
    <w:rsid w:val="00F645D4"/>
    <w:rsid w:val="00F645D7"/>
    <w:rsid w:val="00F648A4"/>
    <w:rsid w:val="00F649D1"/>
    <w:rsid w:val="00F64C04"/>
    <w:rsid w:val="00F64C83"/>
    <w:rsid w:val="00F64C94"/>
    <w:rsid w:val="00F64CD6"/>
    <w:rsid w:val="00F64D14"/>
    <w:rsid w:val="00F650B8"/>
    <w:rsid w:val="00F651E0"/>
    <w:rsid w:val="00F652CF"/>
    <w:rsid w:val="00F652D8"/>
    <w:rsid w:val="00F6534E"/>
    <w:rsid w:val="00F6557A"/>
    <w:rsid w:val="00F656C3"/>
    <w:rsid w:val="00F6584E"/>
    <w:rsid w:val="00F6598D"/>
    <w:rsid w:val="00F65B7B"/>
    <w:rsid w:val="00F65EAB"/>
    <w:rsid w:val="00F65EC3"/>
    <w:rsid w:val="00F662D2"/>
    <w:rsid w:val="00F6643F"/>
    <w:rsid w:val="00F66442"/>
    <w:rsid w:val="00F66482"/>
    <w:rsid w:val="00F664E5"/>
    <w:rsid w:val="00F66506"/>
    <w:rsid w:val="00F6669C"/>
    <w:rsid w:val="00F6682E"/>
    <w:rsid w:val="00F6691B"/>
    <w:rsid w:val="00F66AFB"/>
    <w:rsid w:val="00F66B4F"/>
    <w:rsid w:val="00F66DDA"/>
    <w:rsid w:val="00F66DE9"/>
    <w:rsid w:val="00F66E10"/>
    <w:rsid w:val="00F6728D"/>
    <w:rsid w:val="00F673C9"/>
    <w:rsid w:val="00F6758A"/>
    <w:rsid w:val="00F67610"/>
    <w:rsid w:val="00F676B9"/>
    <w:rsid w:val="00F6771E"/>
    <w:rsid w:val="00F67772"/>
    <w:rsid w:val="00F6781D"/>
    <w:rsid w:val="00F678E2"/>
    <w:rsid w:val="00F67BCD"/>
    <w:rsid w:val="00F67EA3"/>
    <w:rsid w:val="00F67FA4"/>
    <w:rsid w:val="00F701E2"/>
    <w:rsid w:val="00F70207"/>
    <w:rsid w:val="00F704AF"/>
    <w:rsid w:val="00F708BC"/>
    <w:rsid w:val="00F7091C"/>
    <w:rsid w:val="00F7091E"/>
    <w:rsid w:val="00F70B46"/>
    <w:rsid w:val="00F70DC8"/>
    <w:rsid w:val="00F70E63"/>
    <w:rsid w:val="00F70F04"/>
    <w:rsid w:val="00F70F34"/>
    <w:rsid w:val="00F710CF"/>
    <w:rsid w:val="00F71106"/>
    <w:rsid w:val="00F714A7"/>
    <w:rsid w:val="00F718DC"/>
    <w:rsid w:val="00F71BB2"/>
    <w:rsid w:val="00F71CF7"/>
    <w:rsid w:val="00F71D33"/>
    <w:rsid w:val="00F71DFE"/>
    <w:rsid w:val="00F71E37"/>
    <w:rsid w:val="00F71E82"/>
    <w:rsid w:val="00F71EC7"/>
    <w:rsid w:val="00F720DE"/>
    <w:rsid w:val="00F72110"/>
    <w:rsid w:val="00F72210"/>
    <w:rsid w:val="00F7251D"/>
    <w:rsid w:val="00F7270C"/>
    <w:rsid w:val="00F7295D"/>
    <w:rsid w:val="00F7299B"/>
    <w:rsid w:val="00F729E6"/>
    <w:rsid w:val="00F72B58"/>
    <w:rsid w:val="00F72C16"/>
    <w:rsid w:val="00F72CA3"/>
    <w:rsid w:val="00F7327E"/>
    <w:rsid w:val="00F735DB"/>
    <w:rsid w:val="00F735FF"/>
    <w:rsid w:val="00F737CA"/>
    <w:rsid w:val="00F737D8"/>
    <w:rsid w:val="00F73975"/>
    <w:rsid w:val="00F73D98"/>
    <w:rsid w:val="00F74308"/>
    <w:rsid w:val="00F7438A"/>
    <w:rsid w:val="00F744C5"/>
    <w:rsid w:val="00F746AB"/>
    <w:rsid w:val="00F74852"/>
    <w:rsid w:val="00F7492A"/>
    <w:rsid w:val="00F74A26"/>
    <w:rsid w:val="00F74B0C"/>
    <w:rsid w:val="00F74B82"/>
    <w:rsid w:val="00F74C04"/>
    <w:rsid w:val="00F74F55"/>
    <w:rsid w:val="00F74FE2"/>
    <w:rsid w:val="00F75061"/>
    <w:rsid w:val="00F75349"/>
    <w:rsid w:val="00F7542B"/>
    <w:rsid w:val="00F754A8"/>
    <w:rsid w:val="00F75598"/>
    <w:rsid w:val="00F757AD"/>
    <w:rsid w:val="00F757C9"/>
    <w:rsid w:val="00F758BE"/>
    <w:rsid w:val="00F759B1"/>
    <w:rsid w:val="00F75A57"/>
    <w:rsid w:val="00F75F1D"/>
    <w:rsid w:val="00F75F61"/>
    <w:rsid w:val="00F75FC4"/>
    <w:rsid w:val="00F76279"/>
    <w:rsid w:val="00F764B3"/>
    <w:rsid w:val="00F764E1"/>
    <w:rsid w:val="00F765D6"/>
    <w:rsid w:val="00F766B8"/>
    <w:rsid w:val="00F768F9"/>
    <w:rsid w:val="00F76AC4"/>
    <w:rsid w:val="00F76D89"/>
    <w:rsid w:val="00F770AF"/>
    <w:rsid w:val="00F77185"/>
    <w:rsid w:val="00F772E2"/>
    <w:rsid w:val="00F775B7"/>
    <w:rsid w:val="00F77725"/>
    <w:rsid w:val="00F77838"/>
    <w:rsid w:val="00F77958"/>
    <w:rsid w:val="00F77A50"/>
    <w:rsid w:val="00F77A6B"/>
    <w:rsid w:val="00F77A78"/>
    <w:rsid w:val="00F77B25"/>
    <w:rsid w:val="00F77D03"/>
    <w:rsid w:val="00F77F7A"/>
    <w:rsid w:val="00F8022F"/>
    <w:rsid w:val="00F80381"/>
    <w:rsid w:val="00F804B8"/>
    <w:rsid w:val="00F804DC"/>
    <w:rsid w:val="00F80570"/>
    <w:rsid w:val="00F80762"/>
    <w:rsid w:val="00F807DE"/>
    <w:rsid w:val="00F80C27"/>
    <w:rsid w:val="00F80DA5"/>
    <w:rsid w:val="00F81185"/>
    <w:rsid w:val="00F81358"/>
    <w:rsid w:val="00F81572"/>
    <w:rsid w:val="00F81933"/>
    <w:rsid w:val="00F81C11"/>
    <w:rsid w:val="00F81CEE"/>
    <w:rsid w:val="00F81CF6"/>
    <w:rsid w:val="00F81D83"/>
    <w:rsid w:val="00F81FFA"/>
    <w:rsid w:val="00F82257"/>
    <w:rsid w:val="00F8227D"/>
    <w:rsid w:val="00F822C0"/>
    <w:rsid w:val="00F82ABD"/>
    <w:rsid w:val="00F82AF4"/>
    <w:rsid w:val="00F82EC5"/>
    <w:rsid w:val="00F82F2C"/>
    <w:rsid w:val="00F83112"/>
    <w:rsid w:val="00F8329A"/>
    <w:rsid w:val="00F832D7"/>
    <w:rsid w:val="00F8348C"/>
    <w:rsid w:val="00F835F6"/>
    <w:rsid w:val="00F8362A"/>
    <w:rsid w:val="00F837E8"/>
    <w:rsid w:val="00F83BAE"/>
    <w:rsid w:val="00F83C3A"/>
    <w:rsid w:val="00F83DE5"/>
    <w:rsid w:val="00F84104"/>
    <w:rsid w:val="00F8472A"/>
    <w:rsid w:val="00F84E28"/>
    <w:rsid w:val="00F84E5C"/>
    <w:rsid w:val="00F852CA"/>
    <w:rsid w:val="00F85674"/>
    <w:rsid w:val="00F85757"/>
    <w:rsid w:val="00F857FF"/>
    <w:rsid w:val="00F8581D"/>
    <w:rsid w:val="00F8583A"/>
    <w:rsid w:val="00F85AC7"/>
    <w:rsid w:val="00F85D06"/>
    <w:rsid w:val="00F85D9D"/>
    <w:rsid w:val="00F85F04"/>
    <w:rsid w:val="00F860ED"/>
    <w:rsid w:val="00F86211"/>
    <w:rsid w:val="00F86270"/>
    <w:rsid w:val="00F8634A"/>
    <w:rsid w:val="00F864F0"/>
    <w:rsid w:val="00F868AE"/>
    <w:rsid w:val="00F8698F"/>
    <w:rsid w:val="00F86C31"/>
    <w:rsid w:val="00F86E1F"/>
    <w:rsid w:val="00F870B4"/>
    <w:rsid w:val="00F872A4"/>
    <w:rsid w:val="00F87345"/>
    <w:rsid w:val="00F87861"/>
    <w:rsid w:val="00F878E2"/>
    <w:rsid w:val="00F87ABC"/>
    <w:rsid w:val="00F87AC0"/>
    <w:rsid w:val="00F87D5E"/>
    <w:rsid w:val="00F87EF8"/>
    <w:rsid w:val="00F87FDD"/>
    <w:rsid w:val="00F90280"/>
    <w:rsid w:val="00F9036B"/>
    <w:rsid w:val="00F9037E"/>
    <w:rsid w:val="00F9066A"/>
    <w:rsid w:val="00F9075C"/>
    <w:rsid w:val="00F90872"/>
    <w:rsid w:val="00F908C6"/>
    <w:rsid w:val="00F90B29"/>
    <w:rsid w:val="00F90BD7"/>
    <w:rsid w:val="00F90C54"/>
    <w:rsid w:val="00F90CC0"/>
    <w:rsid w:val="00F910E6"/>
    <w:rsid w:val="00F91336"/>
    <w:rsid w:val="00F914B7"/>
    <w:rsid w:val="00F916A7"/>
    <w:rsid w:val="00F916F4"/>
    <w:rsid w:val="00F9189F"/>
    <w:rsid w:val="00F91A7A"/>
    <w:rsid w:val="00F91B07"/>
    <w:rsid w:val="00F91E5F"/>
    <w:rsid w:val="00F92238"/>
    <w:rsid w:val="00F922C1"/>
    <w:rsid w:val="00F923A1"/>
    <w:rsid w:val="00F9260C"/>
    <w:rsid w:val="00F92891"/>
    <w:rsid w:val="00F929C5"/>
    <w:rsid w:val="00F92D8D"/>
    <w:rsid w:val="00F92EFB"/>
    <w:rsid w:val="00F92F5A"/>
    <w:rsid w:val="00F92F81"/>
    <w:rsid w:val="00F9306A"/>
    <w:rsid w:val="00F9324E"/>
    <w:rsid w:val="00F93473"/>
    <w:rsid w:val="00F935FA"/>
    <w:rsid w:val="00F9368F"/>
    <w:rsid w:val="00F938C3"/>
    <w:rsid w:val="00F93964"/>
    <w:rsid w:val="00F93987"/>
    <w:rsid w:val="00F93C5B"/>
    <w:rsid w:val="00F93D0D"/>
    <w:rsid w:val="00F93F9A"/>
    <w:rsid w:val="00F93FDB"/>
    <w:rsid w:val="00F94406"/>
    <w:rsid w:val="00F945C1"/>
    <w:rsid w:val="00F9472E"/>
    <w:rsid w:val="00F94ADD"/>
    <w:rsid w:val="00F94EBA"/>
    <w:rsid w:val="00F94F18"/>
    <w:rsid w:val="00F94F5C"/>
    <w:rsid w:val="00F95219"/>
    <w:rsid w:val="00F95505"/>
    <w:rsid w:val="00F9564D"/>
    <w:rsid w:val="00F95899"/>
    <w:rsid w:val="00F95D01"/>
    <w:rsid w:val="00F96121"/>
    <w:rsid w:val="00F961C4"/>
    <w:rsid w:val="00F96307"/>
    <w:rsid w:val="00F9637C"/>
    <w:rsid w:val="00F96589"/>
    <w:rsid w:val="00F96621"/>
    <w:rsid w:val="00F96684"/>
    <w:rsid w:val="00F967C3"/>
    <w:rsid w:val="00F967DC"/>
    <w:rsid w:val="00F96881"/>
    <w:rsid w:val="00F96901"/>
    <w:rsid w:val="00F96B0C"/>
    <w:rsid w:val="00F96CBB"/>
    <w:rsid w:val="00F96D3F"/>
    <w:rsid w:val="00F96D42"/>
    <w:rsid w:val="00F96E0B"/>
    <w:rsid w:val="00F96F1A"/>
    <w:rsid w:val="00F970EC"/>
    <w:rsid w:val="00F97604"/>
    <w:rsid w:val="00F978CB"/>
    <w:rsid w:val="00F97DE6"/>
    <w:rsid w:val="00FA0109"/>
    <w:rsid w:val="00FA02BF"/>
    <w:rsid w:val="00FA073E"/>
    <w:rsid w:val="00FA07BE"/>
    <w:rsid w:val="00FA09D2"/>
    <w:rsid w:val="00FA0ABE"/>
    <w:rsid w:val="00FA0B8F"/>
    <w:rsid w:val="00FA0C8F"/>
    <w:rsid w:val="00FA0D66"/>
    <w:rsid w:val="00FA0DAE"/>
    <w:rsid w:val="00FA0F40"/>
    <w:rsid w:val="00FA0FA7"/>
    <w:rsid w:val="00FA10A7"/>
    <w:rsid w:val="00FA12C5"/>
    <w:rsid w:val="00FA1539"/>
    <w:rsid w:val="00FA15C5"/>
    <w:rsid w:val="00FA1815"/>
    <w:rsid w:val="00FA19BE"/>
    <w:rsid w:val="00FA1ADB"/>
    <w:rsid w:val="00FA1BBC"/>
    <w:rsid w:val="00FA1BD8"/>
    <w:rsid w:val="00FA1C5D"/>
    <w:rsid w:val="00FA1CE0"/>
    <w:rsid w:val="00FA1D03"/>
    <w:rsid w:val="00FA1D4C"/>
    <w:rsid w:val="00FA1FF3"/>
    <w:rsid w:val="00FA2130"/>
    <w:rsid w:val="00FA22FD"/>
    <w:rsid w:val="00FA2513"/>
    <w:rsid w:val="00FA27A4"/>
    <w:rsid w:val="00FA27ED"/>
    <w:rsid w:val="00FA28ED"/>
    <w:rsid w:val="00FA2987"/>
    <w:rsid w:val="00FA2AC7"/>
    <w:rsid w:val="00FA2AEB"/>
    <w:rsid w:val="00FA2D4B"/>
    <w:rsid w:val="00FA2DB8"/>
    <w:rsid w:val="00FA2E89"/>
    <w:rsid w:val="00FA2E9C"/>
    <w:rsid w:val="00FA2F2C"/>
    <w:rsid w:val="00FA2F9D"/>
    <w:rsid w:val="00FA302F"/>
    <w:rsid w:val="00FA3330"/>
    <w:rsid w:val="00FA3486"/>
    <w:rsid w:val="00FA34C4"/>
    <w:rsid w:val="00FA3562"/>
    <w:rsid w:val="00FA35DF"/>
    <w:rsid w:val="00FA39A2"/>
    <w:rsid w:val="00FA39D0"/>
    <w:rsid w:val="00FA3C38"/>
    <w:rsid w:val="00FA3CA5"/>
    <w:rsid w:val="00FA3CBF"/>
    <w:rsid w:val="00FA3D06"/>
    <w:rsid w:val="00FA3D85"/>
    <w:rsid w:val="00FA4252"/>
    <w:rsid w:val="00FA42ED"/>
    <w:rsid w:val="00FA45C7"/>
    <w:rsid w:val="00FA4858"/>
    <w:rsid w:val="00FA48F2"/>
    <w:rsid w:val="00FA4A1B"/>
    <w:rsid w:val="00FA4A67"/>
    <w:rsid w:val="00FA5036"/>
    <w:rsid w:val="00FA51C7"/>
    <w:rsid w:val="00FA53B1"/>
    <w:rsid w:val="00FA5424"/>
    <w:rsid w:val="00FA5450"/>
    <w:rsid w:val="00FA568B"/>
    <w:rsid w:val="00FA57A3"/>
    <w:rsid w:val="00FA57FD"/>
    <w:rsid w:val="00FA5839"/>
    <w:rsid w:val="00FA597D"/>
    <w:rsid w:val="00FA5A30"/>
    <w:rsid w:val="00FA5A5A"/>
    <w:rsid w:val="00FA5AE8"/>
    <w:rsid w:val="00FA5DB4"/>
    <w:rsid w:val="00FA5DDA"/>
    <w:rsid w:val="00FA63ED"/>
    <w:rsid w:val="00FA64C6"/>
    <w:rsid w:val="00FA64E3"/>
    <w:rsid w:val="00FA6535"/>
    <w:rsid w:val="00FA65E9"/>
    <w:rsid w:val="00FA6638"/>
    <w:rsid w:val="00FA675E"/>
    <w:rsid w:val="00FA6AFC"/>
    <w:rsid w:val="00FA6B9D"/>
    <w:rsid w:val="00FA6E2D"/>
    <w:rsid w:val="00FA6E99"/>
    <w:rsid w:val="00FA6EC4"/>
    <w:rsid w:val="00FA7229"/>
    <w:rsid w:val="00FA72F1"/>
    <w:rsid w:val="00FA73C7"/>
    <w:rsid w:val="00FA76D0"/>
    <w:rsid w:val="00FA7738"/>
    <w:rsid w:val="00FA77AB"/>
    <w:rsid w:val="00FA7857"/>
    <w:rsid w:val="00FA78FD"/>
    <w:rsid w:val="00FA7915"/>
    <w:rsid w:val="00FA7BBC"/>
    <w:rsid w:val="00FA7D85"/>
    <w:rsid w:val="00FA7E63"/>
    <w:rsid w:val="00FA7EE6"/>
    <w:rsid w:val="00FA7F26"/>
    <w:rsid w:val="00FA7F50"/>
    <w:rsid w:val="00FA7F58"/>
    <w:rsid w:val="00FA7F75"/>
    <w:rsid w:val="00FB0005"/>
    <w:rsid w:val="00FB00CE"/>
    <w:rsid w:val="00FB0215"/>
    <w:rsid w:val="00FB0224"/>
    <w:rsid w:val="00FB02C2"/>
    <w:rsid w:val="00FB03A1"/>
    <w:rsid w:val="00FB0567"/>
    <w:rsid w:val="00FB0629"/>
    <w:rsid w:val="00FB08FC"/>
    <w:rsid w:val="00FB0950"/>
    <w:rsid w:val="00FB099F"/>
    <w:rsid w:val="00FB0D63"/>
    <w:rsid w:val="00FB0D6A"/>
    <w:rsid w:val="00FB0DBF"/>
    <w:rsid w:val="00FB0E4D"/>
    <w:rsid w:val="00FB0EAC"/>
    <w:rsid w:val="00FB105F"/>
    <w:rsid w:val="00FB121A"/>
    <w:rsid w:val="00FB1443"/>
    <w:rsid w:val="00FB145F"/>
    <w:rsid w:val="00FB159A"/>
    <w:rsid w:val="00FB1635"/>
    <w:rsid w:val="00FB1A13"/>
    <w:rsid w:val="00FB1B02"/>
    <w:rsid w:val="00FB1D07"/>
    <w:rsid w:val="00FB2140"/>
    <w:rsid w:val="00FB23D8"/>
    <w:rsid w:val="00FB2499"/>
    <w:rsid w:val="00FB2514"/>
    <w:rsid w:val="00FB25FE"/>
    <w:rsid w:val="00FB2638"/>
    <w:rsid w:val="00FB276E"/>
    <w:rsid w:val="00FB28C8"/>
    <w:rsid w:val="00FB2B6D"/>
    <w:rsid w:val="00FB2C05"/>
    <w:rsid w:val="00FB2C85"/>
    <w:rsid w:val="00FB2E1F"/>
    <w:rsid w:val="00FB2F91"/>
    <w:rsid w:val="00FB31BA"/>
    <w:rsid w:val="00FB3769"/>
    <w:rsid w:val="00FB37BD"/>
    <w:rsid w:val="00FB3A44"/>
    <w:rsid w:val="00FB3DCA"/>
    <w:rsid w:val="00FB3E99"/>
    <w:rsid w:val="00FB3F25"/>
    <w:rsid w:val="00FB4128"/>
    <w:rsid w:val="00FB426B"/>
    <w:rsid w:val="00FB44F1"/>
    <w:rsid w:val="00FB4542"/>
    <w:rsid w:val="00FB45B7"/>
    <w:rsid w:val="00FB4647"/>
    <w:rsid w:val="00FB4980"/>
    <w:rsid w:val="00FB4A2E"/>
    <w:rsid w:val="00FB4DAD"/>
    <w:rsid w:val="00FB4EF0"/>
    <w:rsid w:val="00FB4F57"/>
    <w:rsid w:val="00FB5153"/>
    <w:rsid w:val="00FB52CB"/>
    <w:rsid w:val="00FB5390"/>
    <w:rsid w:val="00FB5759"/>
    <w:rsid w:val="00FB57FB"/>
    <w:rsid w:val="00FB5FD9"/>
    <w:rsid w:val="00FB6118"/>
    <w:rsid w:val="00FB6496"/>
    <w:rsid w:val="00FB66A0"/>
    <w:rsid w:val="00FB6791"/>
    <w:rsid w:val="00FB6851"/>
    <w:rsid w:val="00FB6940"/>
    <w:rsid w:val="00FB6989"/>
    <w:rsid w:val="00FB6CBC"/>
    <w:rsid w:val="00FB6F6B"/>
    <w:rsid w:val="00FB6F86"/>
    <w:rsid w:val="00FB71A4"/>
    <w:rsid w:val="00FB7286"/>
    <w:rsid w:val="00FB7518"/>
    <w:rsid w:val="00FB75EF"/>
    <w:rsid w:val="00FB7764"/>
    <w:rsid w:val="00FB77F6"/>
    <w:rsid w:val="00FB7A10"/>
    <w:rsid w:val="00FB7A2A"/>
    <w:rsid w:val="00FB7CB3"/>
    <w:rsid w:val="00FB7CFE"/>
    <w:rsid w:val="00FB7D29"/>
    <w:rsid w:val="00FB7D3A"/>
    <w:rsid w:val="00FB7E27"/>
    <w:rsid w:val="00FB7EBA"/>
    <w:rsid w:val="00FB7EE8"/>
    <w:rsid w:val="00FC01E8"/>
    <w:rsid w:val="00FC0392"/>
    <w:rsid w:val="00FC0419"/>
    <w:rsid w:val="00FC0758"/>
    <w:rsid w:val="00FC098C"/>
    <w:rsid w:val="00FC09C0"/>
    <w:rsid w:val="00FC09DA"/>
    <w:rsid w:val="00FC0C02"/>
    <w:rsid w:val="00FC0C64"/>
    <w:rsid w:val="00FC0F0C"/>
    <w:rsid w:val="00FC10A3"/>
    <w:rsid w:val="00FC10A9"/>
    <w:rsid w:val="00FC10D6"/>
    <w:rsid w:val="00FC1296"/>
    <w:rsid w:val="00FC1358"/>
    <w:rsid w:val="00FC1374"/>
    <w:rsid w:val="00FC1394"/>
    <w:rsid w:val="00FC145A"/>
    <w:rsid w:val="00FC15D7"/>
    <w:rsid w:val="00FC16BD"/>
    <w:rsid w:val="00FC179C"/>
    <w:rsid w:val="00FC1888"/>
    <w:rsid w:val="00FC207C"/>
    <w:rsid w:val="00FC20BE"/>
    <w:rsid w:val="00FC21F8"/>
    <w:rsid w:val="00FC2216"/>
    <w:rsid w:val="00FC2317"/>
    <w:rsid w:val="00FC236C"/>
    <w:rsid w:val="00FC25AF"/>
    <w:rsid w:val="00FC2DA8"/>
    <w:rsid w:val="00FC2E40"/>
    <w:rsid w:val="00FC2FCE"/>
    <w:rsid w:val="00FC3499"/>
    <w:rsid w:val="00FC353B"/>
    <w:rsid w:val="00FC3563"/>
    <w:rsid w:val="00FC3575"/>
    <w:rsid w:val="00FC39A6"/>
    <w:rsid w:val="00FC39DF"/>
    <w:rsid w:val="00FC3D62"/>
    <w:rsid w:val="00FC3E3F"/>
    <w:rsid w:val="00FC3EA9"/>
    <w:rsid w:val="00FC4034"/>
    <w:rsid w:val="00FC40D4"/>
    <w:rsid w:val="00FC435F"/>
    <w:rsid w:val="00FC438F"/>
    <w:rsid w:val="00FC457F"/>
    <w:rsid w:val="00FC4651"/>
    <w:rsid w:val="00FC4831"/>
    <w:rsid w:val="00FC4C98"/>
    <w:rsid w:val="00FC4E5A"/>
    <w:rsid w:val="00FC5164"/>
    <w:rsid w:val="00FC52E8"/>
    <w:rsid w:val="00FC5440"/>
    <w:rsid w:val="00FC5462"/>
    <w:rsid w:val="00FC55F3"/>
    <w:rsid w:val="00FC5711"/>
    <w:rsid w:val="00FC588A"/>
    <w:rsid w:val="00FC59FC"/>
    <w:rsid w:val="00FC5C7C"/>
    <w:rsid w:val="00FC5CB5"/>
    <w:rsid w:val="00FC5FA5"/>
    <w:rsid w:val="00FC6178"/>
    <w:rsid w:val="00FC61B0"/>
    <w:rsid w:val="00FC61F4"/>
    <w:rsid w:val="00FC65AD"/>
    <w:rsid w:val="00FC65F4"/>
    <w:rsid w:val="00FC664B"/>
    <w:rsid w:val="00FC66DB"/>
    <w:rsid w:val="00FC67D2"/>
    <w:rsid w:val="00FC67F9"/>
    <w:rsid w:val="00FC6AE0"/>
    <w:rsid w:val="00FC6C04"/>
    <w:rsid w:val="00FC6DAB"/>
    <w:rsid w:val="00FC6DDF"/>
    <w:rsid w:val="00FC6F1C"/>
    <w:rsid w:val="00FC702F"/>
    <w:rsid w:val="00FC7281"/>
    <w:rsid w:val="00FC7334"/>
    <w:rsid w:val="00FC734A"/>
    <w:rsid w:val="00FC7564"/>
    <w:rsid w:val="00FC75F1"/>
    <w:rsid w:val="00FC7718"/>
    <w:rsid w:val="00FC7757"/>
    <w:rsid w:val="00FC7776"/>
    <w:rsid w:val="00FC780C"/>
    <w:rsid w:val="00FC7CEC"/>
    <w:rsid w:val="00FC7F24"/>
    <w:rsid w:val="00FD0056"/>
    <w:rsid w:val="00FD0192"/>
    <w:rsid w:val="00FD01AE"/>
    <w:rsid w:val="00FD0423"/>
    <w:rsid w:val="00FD05E9"/>
    <w:rsid w:val="00FD05FD"/>
    <w:rsid w:val="00FD0659"/>
    <w:rsid w:val="00FD093A"/>
    <w:rsid w:val="00FD09D9"/>
    <w:rsid w:val="00FD0BB5"/>
    <w:rsid w:val="00FD0D13"/>
    <w:rsid w:val="00FD0FDF"/>
    <w:rsid w:val="00FD15B8"/>
    <w:rsid w:val="00FD16B9"/>
    <w:rsid w:val="00FD19B3"/>
    <w:rsid w:val="00FD1A47"/>
    <w:rsid w:val="00FD1CE8"/>
    <w:rsid w:val="00FD1DF0"/>
    <w:rsid w:val="00FD1E92"/>
    <w:rsid w:val="00FD1FB1"/>
    <w:rsid w:val="00FD2037"/>
    <w:rsid w:val="00FD231C"/>
    <w:rsid w:val="00FD2363"/>
    <w:rsid w:val="00FD242A"/>
    <w:rsid w:val="00FD2524"/>
    <w:rsid w:val="00FD2631"/>
    <w:rsid w:val="00FD265D"/>
    <w:rsid w:val="00FD28B4"/>
    <w:rsid w:val="00FD2AA9"/>
    <w:rsid w:val="00FD2CA6"/>
    <w:rsid w:val="00FD2CEC"/>
    <w:rsid w:val="00FD2F32"/>
    <w:rsid w:val="00FD306C"/>
    <w:rsid w:val="00FD32D2"/>
    <w:rsid w:val="00FD3318"/>
    <w:rsid w:val="00FD351A"/>
    <w:rsid w:val="00FD35A8"/>
    <w:rsid w:val="00FD35F3"/>
    <w:rsid w:val="00FD364F"/>
    <w:rsid w:val="00FD369E"/>
    <w:rsid w:val="00FD3874"/>
    <w:rsid w:val="00FD3ABC"/>
    <w:rsid w:val="00FD3C32"/>
    <w:rsid w:val="00FD3E28"/>
    <w:rsid w:val="00FD40AB"/>
    <w:rsid w:val="00FD420F"/>
    <w:rsid w:val="00FD4402"/>
    <w:rsid w:val="00FD449E"/>
    <w:rsid w:val="00FD45A5"/>
    <w:rsid w:val="00FD4C25"/>
    <w:rsid w:val="00FD4E9D"/>
    <w:rsid w:val="00FD4F40"/>
    <w:rsid w:val="00FD4FF4"/>
    <w:rsid w:val="00FD537D"/>
    <w:rsid w:val="00FD53A8"/>
    <w:rsid w:val="00FD5481"/>
    <w:rsid w:val="00FD55AF"/>
    <w:rsid w:val="00FD566F"/>
    <w:rsid w:val="00FD5815"/>
    <w:rsid w:val="00FD5DB7"/>
    <w:rsid w:val="00FD5DCC"/>
    <w:rsid w:val="00FD5DDB"/>
    <w:rsid w:val="00FD5E6E"/>
    <w:rsid w:val="00FD62D9"/>
    <w:rsid w:val="00FD635E"/>
    <w:rsid w:val="00FD63CF"/>
    <w:rsid w:val="00FD63E4"/>
    <w:rsid w:val="00FD6436"/>
    <w:rsid w:val="00FD6447"/>
    <w:rsid w:val="00FD6643"/>
    <w:rsid w:val="00FD681D"/>
    <w:rsid w:val="00FD69BE"/>
    <w:rsid w:val="00FD6B3F"/>
    <w:rsid w:val="00FD6C91"/>
    <w:rsid w:val="00FD6F4A"/>
    <w:rsid w:val="00FD781B"/>
    <w:rsid w:val="00FD7B0B"/>
    <w:rsid w:val="00FD7B59"/>
    <w:rsid w:val="00FD7B71"/>
    <w:rsid w:val="00FD7CB8"/>
    <w:rsid w:val="00FD7CD2"/>
    <w:rsid w:val="00FD7D2F"/>
    <w:rsid w:val="00FD7E28"/>
    <w:rsid w:val="00FE002C"/>
    <w:rsid w:val="00FE0277"/>
    <w:rsid w:val="00FE06A2"/>
    <w:rsid w:val="00FE07E3"/>
    <w:rsid w:val="00FE0E65"/>
    <w:rsid w:val="00FE0F23"/>
    <w:rsid w:val="00FE105D"/>
    <w:rsid w:val="00FE11DE"/>
    <w:rsid w:val="00FE13FF"/>
    <w:rsid w:val="00FE192B"/>
    <w:rsid w:val="00FE1BAA"/>
    <w:rsid w:val="00FE1C63"/>
    <w:rsid w:val="00FE1D40"/>
    <w:rsid w:val="00FE1D57"/>
    <w:rsid w:val="00FE1EAC"/>
    <w:rsid w:val="00FE2052"/>
    <w:rsid w:val="00FE2155"/>
    <w:rsid w:val="00FE2217"/>
    <w:rsid w:val="00FE235E"/>
    <w:rsid w:val="00FE2488"/>
    <w:rsid w:val="00FE282E"/>
    <w:rsid w:val="00FE291A"/>
    <w:rsid w:val="00FE2A3A"/>
    <w:rsid w:val="00FE2BEF"/>
    <w:rsid w:val="00FE2C76"/>
    <w:rsid w:val="00FE2C97"/>
    <w:rsid w:val="00FE318C"/>
    <w:rsid w:val="00FE33BD"/>
    <w:rsid w:val="00FE35C8"/>
    <w:rsid w:val="00FE3786"/>
    <w:rsid w:val="00FE38B5"/>
    <w:rsid w:val="00FE39F7"/>
    <w:rsid w:val="00FE3D2A"/>
    <w:rsid w:val="00FE3F8B"/>
    <w:rsid w:val="00FE40F0"/>
    <w:rsid w:val="00FE43FD"/>
    <w:rsid w:val="00FE44B9"/>
    <w:rsid w:val="00FE46EB"/>
    <w:rsid w:val="00FE4739"/>
    <w:rsid w:val="00FE4A0B"/>
    <w:rsid w:val="00FE4BFA"/>
    <w:rsid w:val="00FE4C38"/>
    <w:rsid w:val="00FE4D21"/>
    <w:rsid w:val="00FE505C"/>
    <w:rsid w:val="00FE50F8"/>
    <w:rsid w:val="00FE513A"/>
    <w:rsid w:val="00FE523C"/>
    <w:rsid w:val="00FE52FD"/>
    <w:rsid w:val="00FE540B"/>
    <w:rsid w:val="00FE540D"/>
    <w:rsid w:val="00FE5443"/>
    <w:rsid w:val="00FE564D"/>
    <w:rsid w:val="00FE56D6"/>
    <w:rsid w:val="00FE574A"/>
    <w:rsid w:val="00FE577D"/>
    <w:rsid w:val="00FE5913"/>
    <w:rsid w:val="00FE5AED"/>
    <w:rsid w:val="00FE5DDD"/>
    <w:rsid w:val="00FE5DF3"/>
    <w:rsid w:val="00FE5F70"/>
    <w:rsid w:val="00FE6111"/>
    <w:rsid w:val="00FE61B2"/>
    <w:rsid w:val="00FE6319"/>
    <w:rsid w:val="00FE6476"/>
    <w:rsid w:val="00FE6966"/>
    <w:rsid w:val="00FE6996"/>
    <w:rsid w:val="00FE69D3"/>
    <w:rsid w:val="00FE6A50"/>
    <w:rsid w:val="00FE6E2A"/>
    <w:rsid w:val="00FE6FD9"/>
    <w:rsid w:val="00FE718C"/>
    <w:rsid w:val="00FE718D"/>
    <w:rsid w:val="00FE71BF"/>
    <w:rsid w:val="00FE7620"/>
    <w:rsid w:val="00FE7A88"/>
    <w:rsid w:val="00FE7AB0"/>
    <w:rsid w:val="00FF0032"/>
    <w:rsid w:val="00FF007B"/>
    <w:rsid w:val="00FF0159"/>
    <w:rsid w:val="00FF02AA"/>
    <w:rsid w:val="00FF04CC"/>
    <w:rsid w:val="00FF059E"/>
    <w:rsid w:val="00FF060C"/>
    <w:rsid w:val="00FF0638"/>
    <w:rsid w:val="00FF0858"/>
    <w:rsid w:val="00FF09F5"/>
    <w:rsid w:val="00FF0E72"/>
    <w:rsid w:val="00FF0ED7"/>
    <w:rsid w:val="00FF0FAB"/>
    <w:rsid w:val="00FF110F"/>
    <w:rsid w:val="00FF11BD"/>
    <w:rsid w:val="00FF134B"/>
    <w:rsid w:val="00FF1505"/>
    <w:rsid w:val="00FF1956"/>
    <w:rsid w:val="00FF1967"/>
    <w:rsid w:val="00FF19CC"/>
    <w:rsid w:val="00FF1A6C"/>
    <w:rsid w:val="00FF1B70"/>
    <w:rsid w:val="00FF1BF9"/>
    <w:rsid w:val="00FF1CD6"/>
    <w:rsid w:val="00FF2022"/>
    <w:rsid w:val="00FF221D"/>
    <w:rsid w:val="00FF22F7"/>
    <w:rsid w:val="00FF237F"/>
    <w:rsid w:val="00FF23C0"/>
    <w:rsid w:val="00FF2505"/>
    <w:rsid w:val="00FF2590"/>
    <w:rsid w:val="00FF25A8"/>
    <w:rsid w:val="00FF26EB"/>
    <w:rsid w:val="00FF26FF"/>
    <w:rsid w:val="00FF289F"/>
    <w:rsid w:val="00FF2939"/>
    <w:rsid w:val="00FF2BBC"/>
    <w:rsid w:val="00FF2C51"/>
    <w:rsid w:val="00FF2D70"/>
    <w:rsid w:val="00FF2E8F"/>
    <w:rsid w:val="00FF2EF4"/>
    <w:rsid w:val="00FF2FED"/>
    <w:rsid w:val="00FF3001"/>
    <w:rsid w:val="00FF3470"/>
    <w:rsid w:val="00FF3517"/>
    <w:rsid w:val="00FF35B0"/>
    <w:rsid w:val="00FF369B"/>
    <w:rsid w:val="00FF3CAE"/>
    <w:rsid w:val="00FF3D2B"/>
    <w:rsid w:val="00FF3F69"/>
    <w:rsid w:val="00FF3FFF"/>
    <w:rsid w:val="00FF40A2"/>
    <w:rsid w:val="00FF424D"/>
    <w:rsid w:val="00FF4266"/>
    <w:rsid w:val="00FF430C"/>
    <w:rsid w:val="00FF4392"/>
    <w:rsid w:val="00FF48BB"/>
    <w:rsid w:val="00FF48BF"/>
    <w:rsid w:val="00FF4A6F"/>
    <w:rsid w:val="00FF4F08"/>
    <w:rsid w:val="00FF5114"/>
    <w:rsid w:val="00FF538A"/>
    <w:rsid w:val="00FF5493"/>
    <w:rsid w:val="00FF54B7"/>
    <w:rsid w:val="00FF5625"/>
    <w:rsid w:val="00FF56D0"/>
    <w:rsid w:val="00FF58CD"/>
    <w:rsid w:val="00FF5958"/>
    <w:rsid w:val="00FF5A5E"/>
    <w:rsid w:val="00FF5C2F"/>
    <w:rsid w:val="00FF5F2A"/>
    <w:rsid w:val="00FF622C"/>
    <w:rsid w:val="00FF639E"/>
    <w:rsid w:val="00FF63A6"/>
    <w:rsid w:val="00FF65DF"/>
    <w:rsid w:val="00FF66A8"/>
    <w:rsid w:val="00FF685E"/>
    <w:rsid w:val="00FF6A44"/>
    <w:rsid w:val="00FF6A8C"/>
    <w:rsid w:val="00FF6D23"/>
    <w:rsid w:val="00FF6DB7"/>
    <w:rsid w:val="00FF6DE4"/>
    <w:rsid w:val="00FF7014"/>
    <w:rsid w:val="00FF72AF"/>
    <w:rsid w:val="00FF72C9"/>
    <w:rsid w:val="00FF7451"/>
    <w:rsid w:val="00FF7616"/>
    <w:rsid w:val="00FF7633"/>
    <w:rsid w:val="00FF769B"/>
    <w:rsid w:val="00FF78C4"/>
    <w:rsid w:val="00FF7996"/>
    <w:rsid w:val="00FF7ABA"/>
    <w:rsid w:val="00FF7AE1"/>
    <w:rsid w:val="00FF7BAD"/>
    <w:rsid w:val="00FF7CEB"/>
    <w:rsid w:val="00FF7D1A"/>
    <w:rsid w:val="00FF7EAA"/>
    <w:rsid w:val="00FF7F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A443E27"/>
  <w15:docId w15:val="{316FC182-925C-4187-A72B-D2FBA32A3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2A45"/>
    <w:pPr>
      <w:spacing w:line="360" w:lineRule="auto"/>
      <w:jc w:val="both"/>
    </w:pPr>
    <w:rPr>
      <w:rFonts w:cs="Times New Roman"/>
      <w:szCs w:val="24"/>
    </w:rPr>
  </w:style>
  <w:style w:type="paragraph" w:styleId="Heading1">
    <w:name w:val="heading 1"/>
    <w:basedOn w:val="Normal"/>
    <w:next w:val="Normal"/>
    <w:link w:val="Heading1Char"/>
    <w:qFormat/>
    <w:rsid w:val="00BB7ACF"/>
    <w:pPr>
      <w:keepNext/>
      <w:numPr>
        <w:numId w:val="5"/>
      </w:numPr>
      <w:outlineLvl w:val="0"/>
    </w:pPr>
    <w:rPr>
      <w:rFonts w:cs="Arial"/>
      <w:b/>
      <w:bCs/>
      <w:kern w:val="32"/>
      <w:szCs w:val="32"/>
    </w:rPr>
  </w:style>
  <w:style w:type="paragraph" w:styleId="Heading2">
    <w:name w:val="heading 2"/>
    <w:basedOn w:val="Normal"/>
    <w:next w:val="Normal"/>
    <w:link w:val="Heading2Char"/>
    <w:qFormat/>
    <w:rsid w:val="00180ACF"/>
    <w:pPr>
      <w:keepNext/>
      <w:numPr>
        <w:ilvl w:val="1"/>
        <w:numId w:val="5"/>
      </w:numPr>
      <w:outlineLvl w:val="1"/>
    </w:pPr>
    <w:rPr>
      <w:rFonts w:cs="Arial"/>
      <w:b/>
      <w:bCs/>
      <w:i/>
      <w:iCs/>
      <w:szCs w:val="28"/>
    </w:rPr>
  </w:style>
  <w:style w:type="paragraph" w:styleId="Heading3">
    <w:name w:val="heading 3"/>
    <w:basedOn w:val="Normal"/>
    <w:next w:val="Normal"/>
    <w:link w:val="Heading3Char"/>
    <w:qFormat/>
    <w:rsid w:val="008D72E6"/>
    <w:pPr>
      <w:keepNext/>
      <w:numPr>
        <w:ilvl w:val="2"/>
        <w:numId w:val="5"/>
      </w:numPr>
      <w:outlineLvl w:val="2"/>
    </w:pPr>
    <w:rPr>
      <w:rFonts w:cs="Arial"/>
      <w:b/>
      <w:bCs/>
      <w:szCs w:val="26"/>
    </w:rPr>
  </w:style>
  <w:style w:type="paragraph" w:styleId="Heading4">
    <w:name w:val="heading 4"/>
    <w:basedOn w:val="Normal"/>
    <w:next w:val="Normal"/>
    <w:link w:val="Heading4Char"/>
    <w:qFormat/>
    <w:rsid w:val="0047738B"/>
    <w:pPr>
      <w:keepNext/>
      <w:numPr>
        <w:ilvl w:val="3"/>
        <w:numId w:val="5"/>
      </w:numPr>
      <w:spacing w:before="240" w:after="60"/>
      <w:outlineLvl w:val="3"/>
    </w:pPr>
    <w:rPr>
      <w:b/>
      <w:bCs/>
      <w:sz w:val="28"/>
      <w:szCs w:val="28"/>
    </w:rPr>
  </w:style>
  <w:style w:type="paragraph" w:styleId="Heading5">
    <w:name w:val="heading 5"/>
    <w:basedOn w:val="Normal"/>
    <w:next w:val="Normal"/>
    <w:link w:val="Heading5Char"/>
    <w:qFormat/>
    <w:rsid w:val="0047738B"/>
    <w:pPr>
      <w:numPr>
        <w:ilvl w:val="4"/>
        <w:numId w:val="5"/>
      </w:numPr>
      <w:spacing w:before="240" w:after="60"/>
      <w:outlineLvl w:val="4"/>
    </w:pPr>
    <w:rPr>
      <w:b/>
      <w:bCs/>
      <w:i/>
      <w:iCs/>
      <w:sz w:val="26"/>
      <w:szCs w:val="26"/>
    </w:rPr>
  </w:style>
  <w:style w:type="paragraph" w:styleId="Heading6">
    <w:name w:val="heading 6"/>
    <w:basedOn w:val="Normal"/>
    <w:next w:val="Normal"/>
    <w:link w:val="Heading6Char"/>
    <w:qFormat/>
    <w:rsid w:val="0047738B"/>
    <w:pPr>
      <w:numPr>
        <w:ilvl w:val="5"/>
        <w:numId w:val="5"/>
      </w:numPr>
      <w:spacing w:before="240" w:after="60"/>
      <w:outlineLvl w:val="5"/>
    </w:pPr>
    <w:rPr>
      <w:b/>
      <w:bCs/>
      <w:sz w:val="22"/>
      <w:szCs w:val="22"/>
    </w:rPr>
  </w:style>
  <w:style w:type="paragraph" w:styleId="Heading7">
    <w:name w:val="heading 7"/>
    <w:basedOn w:val="Normal"/>
    <w:next w:val="Normal"/>
    <w:link w:val="Heading7Char"/>
    <w:qFormat/>
    <w:rsid w:val="0047738B"/>
    <w:pPr>
      <w:numPr>
        <w:ilvl w:val="6"/>
        <w:numId w:val="5"/>
      </w:numPr>
      <w:spacing w:before="240" w:after="60"/>
      <w:outlineLvl w:val="6"/>
    </w:pPr>
  </w:style>
  <w:style w:type="paragraph" w:styleId="Heading8">
    <w:name w:val="heading 8"/>
    <w:basedOn w:val="Normal"/>
    <w:next w:val="Normal"/>
    <w:link w:val="Heading8Char"/>
    <w:qFormat/>
    <w:rsid w:val="0047738B"/>
    <w:pPr>
      <w:numPr>
        <w:ilvl w:val="7"/>
        <w:numId w:val="5"/>
      </w:numPr>
      <w:spacing w:before="240" w:after="60"/>
      <w:outlineLvl w:val="7"/>
    </w:pPr>
    <w:rPr>
      <w:i/>
      <w:iCs/>
    </w:rPr>
  </w:style>
  <w:style w:type="paragraph" w:styleId="Heading9">
    <w:name w:val="heading 9"/>
    <w:basedOn w:val="Normal"/>
    <w:next w:val="Normal"/>
    <w:link w:val="Heading9Char"/>
    <w:qFormat/>
    <w:rsid w:val="0047738B"/>
    <w:pPr>
      <w:numPr>
        <w:ilvl w:val="8"/>
        <w:numId w:val="5"/>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036EA"/>
    <w:pPr>
      <w:widowControl w:val="0"/>
      <w:spacing w:after="240"/>
      <w:ind w:firstLine="720"/>
    </w:pPr>
  </w:style>
  <w:style w:type="character" w:customStyle="1" w:styleId="BodyTextChar">
    <w:name w:val="Body Text Char"/>
    <w:basedOn w:val="DefaultParagraphFont"/>
    <w:link w:val="BodyText"/>
    <w:rsid w:val="00C036EA"/>
    <w:rPr>
      <w:rFonts w:eastAsia="Times New Roman" w:cs="Times New Roman"/>
      <w:szCs w:val="24"/>
    </w:rPr>
  </w:style>
  <w:style w:type="paragraph" w:customStyle="1" w:styleId="BodyTextContinued">
    <w:name w:val="Body Text Continued"/>
    <w:basedOn w:val="BodyText"/>
    <w:next w:val="BodyText"/>
    <w:rsid w:val="00C036EA"/>
    <w:pPr>
      <w:ind w:firstLine="0"/>
    </w:pPr>
    <w:rPr>
      <w:szCs w:val="20"/>
    </w:rPr>
  </w:style>
  <w:style w:type="paragraph" w:styleId="Quote">
    <w:name w:val="Quote"/>
    <w:basedOn w:val="Normal"/>
    <w:next w:val="BodyTextContinued"/>
    <w:link w:val="QuoteChar"/>
    <w:qFormat/>
    <w:rsid w:val="00C036EA"/>
    <w:pPr>
      <w:spacing w:after="240"/>
      <w:ind w:left="1440" w:right="1440"/>
    </w:pPr>
    <w:rPr>
      <w:szCs w:val="20"/>
    </w:rPr>
  </w:style>
  <w:style w:type="character" w:customStyle="1" w:styleId="QuoteChar">
    <w:name w:val="Quote Char"/>
    <w:basedOn w:val="DefaultParagraphFont"/>
    <w:link w:val="Quote"/>
    <w:rsid w:val="00C036EA"/>
    <w:rPr>
      <w:rFonts w:eastAsia="Times New Roman" w:cs="Times New Roman"/>
      <w:szCs w:val="20"/>
    </w:rPr>
  </w:style>
  <w:style w:type="paragraph" w:styleId="Header">
    <w:name w:val="header"/>
    <w:basedOn w:val="Normal"/>
    <w:link w:val="HeaderChar"/>
    <w:uiPriority w:val="99"/>
    <w:rsid w:val="00C036EA"/>
    <w:pPr>
      <w:tabs>
        <w:tab w:val="center" w:pos="4680"/>
        <w:tab w:val="right" w:pos="9360"/>
      </w:tabs>
    </w:pPr>
  </w:style>
  <w:style w:type="character" w:customStyle="1" w:styleId="HeaderChar">
    <w:name w:val="Header Char"/>
    <w:basedOn w:val="DefaultParagraphFont"/>
    <w:link w:val="Header"/>
    <w:uiPriority w:val="99"/>
    <w:rsid w:val="00C036EA"/>
    <w:rPr>
      <w:rFonts w:eastAsia="Times New Roman" w:cs="Times New Roman"/>
      <w:szCs w:val="24"/>
    </w:rPr>
  </w:style>
  <w:style w:type="paragraph" w:styleId="Footer">
    <w:name w:val="footer"/>
    <w:basedOn w:val="Normal"/>
    <w:link w:val="FooterChar"/>
    <w:uiPriority w:val="99"/>
    <w:rsid w:val="00C036EA"/>
    <w:pPr>
      <w:tabs>
        <w:tab w:val="center" w:pos="4680"/>
        <w:tab w:val="right" w:pos="9360"/>
      </w:tabs>
    </w:pPr>
  </w:style>
  <w:style w:type="character" w:customStyle="1" w:styleId="FooterChar">
    <w:name w:val="Footer Char"/>
    <w:basedOn w:val="DefaultParagraphFont"/>
    <w:link w:val="Footer"/>
    <w:uiPriority w:val="99"/>
    <w:rsid w:val="00C036EA"/>
    <w:rPr>
      <w:rFonts w:eastAsia="Times New Roman" w:cs="Times New Roman"/>
      <w:szCs w:val="24"/>
    </w:rPr>
  </w:style>
  <w:style w:type="character" w:styleId="PageNumber">
    <w:name w:val="page number"/>
    <w:basedOn w:val="DefaultParagraphFont"/>
    <w:rsid w:val="00C036EA"/>
  </w:style>
  <w:style w:type="character" w:customStyle="1" w:styleId="Heading1Char">
    <w:name w:val="Heading 1 Char"/>
    <w:basedOn w:val="DefaultParagraphFont"/>
    <w:link w:val="Heading1"/>
    <w:rsid w:val="00BB7ACF"/>
    <w:rPr>
      <w:rFonts w:cs="Arial"/>
      <w:b/>
      <w:bCs/>
      <w:kern w:val="32"/>
      <w:szCs w:val="32"/>
    </w:rPr>
  </w:style>
  <w:style w:type="character" w:customStyle="1" w:styleId="Heading2Char">
    <w:name w:val="Heading 2 Char"/>
    <w:basedOn w:val="DefaultParagraphFont"/>
    <w:link w:val="Heading2"/>
    <w:rsid w:val="00180ACF"/>
    <w:rPr>
      <w:rFonts w:cs="Arial"/>
      <w:b/>
      <w:bCs/>
      <w:i/>
      <w:iCs/>
      <w:szCs w:val="28"/>
    </w:rPr>
  </w:style>
  <w:style w:type="character" w:customStyle="1" w:styleId="Heading3Char">
    <w:name w:val="Heading 3 Char"/>
    <w:basedOn w:val="DefaultParagraphFont"/>
    <w:link w:val="Heading3"/>
    <w:rsid w:val="008D72E6"/>
    <w:rPr>
      <w:rFonts w:cs="Arial"/>
      <w:b/>
      <w:bCs/>
      <w:szCs w:val="26"/>
    </w:rPr>
  </w:style>
  <w:style w:type="character" w:customStyle="1" w:styleId="Heading4Char">
    <w:name w:val="Heading 4 Char"/>
    <w:basedOn w:val="DefaultParagraphFont"/>
    <w:link w:val="Heading4"/>
    <w:rsid w:val="0047738B"/>
    <w:rPr>
      <w:rFonts w:cs="Times New Roman"/>
      <w:b/>
      <w:bCs/>
      <w:sz w:val="28"/>
      <w:szCs w:val="28"/>
    </w:rPr>
  </w:style>
  <w:style w:type="character" w:customStyle="1" w:styleId="Heading5Char">
    <w:name w:val="Heading 5 Char"/>
    <w:basedOn w:val="DefaultParagraphFont"/>
    <w:link w:val="Heading5"/>
    <w:rsid w:val="0047738B"/>
    <w:rPr>
      <w:rFonts w:cs="Times New Roman"/>
      <w:b/>
      <w:bCs/>
      <w:i/>
      <w:iCs/>
      <w:sz w:val="26"/>
      <w:szCs w:val="26"/>
    </w:rPr>
  </w:style>
  <w:style w:type="character" w:customStyle="1" w:styleId="Heading6Char">
    <w:name w:val="Heading 6 Char"/>
    <w:basedOn w:val="DefaultParagraphFont"/>
    <w:link w:val="Heading6"/>
    <w:rsid w:val="0047738B"/>
    <w:rPr>
      <w:rFonts w:cs="Times New Roman"/>
      <w:b/>
      <w:bCs/>
      <w:sz w:val="22"/>
    </w:rPr>
  </w:style>
  <w:style w:type="character" w:customStyle="1" w:styleId="Heading7Char">
    <w:name w:val="Heading 7 Char"/>
    <w:basedOn w:val="DefaultParagraphFont"/>
    <w:link w:val="Heading7"/>
    <w:rsid w:val="0047738B"/>
    <w:rPr>
      <w:rFonts w:cs="Times New Roman"/>
      <w:szCs w:val="24"/>
    </w:rPr>
  </w:style>
  <w:style w:type="character" w:customStyle="1" w:styleId="Heading8Char">
    <w:name w:val="Heading 8 Char"/>
    <w:basedOn w:val="DefaultParagraphFont"/>
    <w:link w:val="Heading8"/>
    <w:rsid w:val="0047738B"/>
    <w:rPr>
      <w:rFonts w:cs="Times New Roman"/>
      <w:i/>
      <w:iCs/>
      <w:szCs w:val="24"/>
    </w:rPr>
  </w:style>
  <w:style w:type="character" w:customStyle="1" w:styleId="Heading9Char">
    <w:name w:val="Heading 9 Char"/>
    <w:basedOn w:val="DefaultParagraphFont"/>
    <w:link w:val="Heading9"/>
    <w:rsid w:val="0047738B"/>
    <w:rPr>
      <w:rFonts w:ascii="Arial" w:hAnsi="Arial" w:cs="Arial"/>
      <w:sz w:val="22"/>
    </w:rPr>
  </w:style>
  <w:style w:type="paragraph" w:styleId="PlainText">
    <w:name w:val="Plain Text"/>
    <w:basedOn w:val="Normal"/>
    <w:link w:val="PlainTextChar"/>
    <w:uiPriority w:val="99"/>
    <w:rsid w:val="0047738B"/>
    <w:rPr>
      <w:rFonts w:ascii="Courier New" w:hAnsi="Courier New" w:cs="Courier New"/>
      <w:sz w:val="20"/>
      <w:szCs w:val="20"/>
    </w:rPr>
  </w:style>
  <w:style w:type="character" w:customStyle="1" w:styleId="PlainTextChar">
    <w:name w:val="Plain Text Char"/>
    <w:basedOn w:val="DefaultParagraphFont"/>
    <w:link w:val="PlainText"/>
    <w:uiPriority w:val="99"/>
    <w:rsid w:val="0047738B"/>
    <w:rPr>
      <w:rFonts w:ascii="Courier New" w:hAnsi="Courier New" w:cs="Courier New"/>
      <w:sz w:val="20"/>
      <w:szCs w:val="20"/>
    </w:rPr>
  </w:style>
  <w:style w:type="paragraph" w:customStyle="1" w:styleId="Title2">
    <w:name w:val="Title 2"/>
    <w:basedOn w:val="Normal"/>
    <w:next w:val="Normal"/>
    <w:rsid w:val="0047738B"/>
    <w:pPr>
      <w:overflowPunct w:val="0"/>
      <w:autoSpaceDE w:val="0"/>
      <w:autoSpaceDN w:val="0"/>
      <w:adjustRightInd w:val="0"/>
      <w:textAlignment w:val="baseline"/>
    </w:pPr>
    <w:rPr>
      <w:rFonts w:ascii="Arial" w:hAnsi="Arial"/>
      <w:b/>
      <w:szCs w:val="20"/>
    </w:rPr>
  </w:style>
  <w:style w:type="paragraph" w:styleId="BodyTextIndent">
    <w:name w:val="Body Text Indent"/>
    <w:basedOn w:val="Normal"/>
    <w:link w:val="BodyTextIndentChar"/>
    <w:rsid w:val="0047738B"/>
    <w:pPr>
      <w:widowControl w:val="0"/>
      <w:overflowPunct w:val="0"/>
      <w:autoSpaceDE w:val="0"/>
      <w:autoSpaceDN w:val="0"/>
      <w:adjustRightInd w:val="0"/>
      <w:ind w:left="720"/>
      <w:textAlignment w:val="baseline"/>
    </w:pPr>
    <w:rPr>
      <w:szCs w:val="20"/>
    </w:rPr>
  </w:style>
  <w:style w:type="character" w:customStyle="1" w:styleId="BodyTextIndentChar">
    <w:name w:val="Body Text Indent Char"/>
    <w:basedOn w:val="DefaultParagraphFont"/>
    <w:link w:val="BodyTextIndent"/>
    <w:rsid w:val="0047738B"/>
    <w:rPr>
      <w:rFonts w:cs="Times New Roman"/>
      <w:szCs w:val="20"/>
    </w:rPr>
  </w:style>
  <w:style w:type="paragraph" w:styleId="BodyTextIndent2">
    <w:name w:val="Body Text Indent 2"/>
    <w:basedOn w:val="Normal"/>
    <w:link w:val="BodyTextIndent2Char"/>
    <w:rsid w:val="0047738B"/>
    <w:pPr>
      <w:widowControl w:val="0"/>
      <w:tabs>
        <w:tab w:val="left" w:pos="360"/>
      </w:tabs>
      <w:overflowPunct w:val="0"/>
      <w:autoSpaceDE w:val="0"/>
      <w:autoSpaceDN w:val="0"/>
      <w:adjustRightInd w:val="0"/>
      <w:ind w:left="720" w:hanging="540"/>
      <w:textAlignment w:val="baseline"/>
    </w:pPr>
    <w:rPr>
      <w:szCs w:val="20"/>
    </w:rPr>
  </w:style>
  <w:style w:type="character" w:customStyle="1" w:styleId="BodyTextIndent2Char">
    <w:name w:val="Body Text Indent 2 Char"/>
    <w:basedOn w:val="DefaultParagraphFont"/>
    <w:link w:val="BodyTextIndent2"/>
    <w:rsid w:val="0047738B"/>
    <w:rPr>
      <w:rFonts w:cs="Times New Roman"/>
      <w:szCs w:val="20"/>
    </w:rPr>
  </w:style>
  <w:style w:type="character" w:styleId="LineNumber">
    <w:name w:val="line number"/>
    <w:basedOn w:val="DefaultParagraphFont"/>
    <w:rsid w:val="0047738B"/>
  </w:style>
  <w:style w:type="paragraph" w:customStyle="1" w:styleId="BBBodyText">
    <w:name w:val="BB Body Text"/>
    <w:basedOn w:val="Normal"/>
    <w:rsid w:val="0047738B"/>
    <w:pPr>
      <w:spacing w:after="240"/>
      <w:ind w:firstLine="720"/>
    </w:pPr>
  </w:style>
  <w:style w:type="character" w:styleId="CommentReference">
    <w:name w:val="annotation reference"/>
    <w:uiPriority w:val="99"/>
    <w:semiHidden/>
    <w:rsid w:val="0047738B"/>
    <w:rPr>
      <w:sz w:val="16"/>
    </w:rPr>
  </w:style>
  <w:style w:type="paragraph" w:styleId="CommentText">
    <w:name w:val="annotation text"/>
    <w:basedOn w:val="Normal"/>
    <w:link w:val="CommentTextChar"/>
    <w:uiPriority w:val="99"/>
    <w:rsid w:val="0047738B"/>
    <w:pPr>
      <w:overflowPunct w:val="0"/>
      <w:autoSpaceDE w:val="0"/>
      <w:autoSpaceDN w:val="0"/>
      <w:adjustRightInd w:val="0"/>
      <w:textAlignment w:val="baseline"/>
    </w:pPr>
    <w:rPr>
      <w:rFonts w:ascii="Arial" w:hAnsi="Arial"/>
      <w:sz w:val="20"/>
      <w:szCs w:val="20"/>
    </w:rPr>
  </w:style>
  <w:style w:type="character" w:customStyle="1" w:styleId="CommentTextChar">
    <w:name w:val="Comment Text Char"/>
    <w:basedOn w:val="DefaultParagraphFont"/>
    <w:link w:val="CommentText"/>
    <w:uiPriority w:val="99"/>
    <w:rsid w:val="0047738B"/>
    <w:rPr>
      <w:rFonts w:ascii="Arial" w:hAnsi="Arial" w:cs="Times New Roman"/>
      <w:sz w:val="20"/>
      <w:szCs w:val="20"/>
    </w:rPr>
  </w:style>
  <w:style w:type="paragraph" w:styleId="BalloonText">
    <w:name w:val="Balloon Text"/>
    <w:basedOn w:val="Normal"/>
    <w:link w:val="BalloonTextChar"/>
    <w:semiHidden/>
    <w:rsid w:val="0047738B"/>
    <w:rPr>
      <w:rFonts w:ascii="Tahoma" w:hAnsi="Tahoma" w:cs="Tahoma"/>
      <w:sz w:val="16"/>
      <w:szCs w:val="16"/>
    </w:rPr>
  </w:style>
  <w:style w:type="character" w:customStyle="1" w:styleId="BalloonTextChar">
    <w:name w:val="Balloon Text Char"/>
    <w:basedOn w:val="DefaultParagraphFont"/>
    <w:link w:val="BalloonText"/>
    <w:semiHidden/>
    <w:rsid w:val="0047738B"/>
    <w:rPr>
      <w:rFonts w:ascii="Tahoma" w:hAnsi="Tahoma" w:cs="Tahoma"/>
      <w:sz w:val="16"/>
      <w:szCs w:val="16"/>
    </w:rPr>
  </w:style>
  <w:style w:type="paragraph" w:styleId="CommentSubject">
    <w:name w:val="annotation subject"/>
    <w:basedOn w:val="CommentText"/>
    <w:next w:val="CommentText"/>
    <w:link w:val="CommentSubjectChar"/>
    <w:semiHidden/>
    <w:rsid w:val="0047738B"/>
    <w:pPr>
      <w:overflowPunct/>
      <w:autoSpaceDE/>
      <w:autoSpaceDN/>
      <w:adjustRightInd/>
      <w:textAlignment w:val="auto"/>
    </w:pPr>
    <w:rPr>
      <w:rFonts w:ascii="Times New Roman" w:hAnsi="Times New Roman"/>
      <w:b/>
      <w:bCs/>
    </w:rPr>
  </w:style>
  <w:style w:type="character" w:customStyle="1" w:styleId="CommentSubjectChar">
    <w:name w:val="Comment Subject Char"/>
    <w:basedOn w:val="CommentTextChar"/>
    <w:link w:val="CommentSubject"/>
    <w:semiHidden/>
    <w:rsid w:val="0047738B"/>
    <w:rPr>
      <w:rFonts w:ascii="Arial" w:hAnsi="Arial" w:cs="Times New Roman"/>
      <w:b/>
      <w:bCs/>
      <w:sz w:val="20"/>
      <w:szCs w:val="20"/>
    </w:rPr>
  </w:style>
  <w:style w:type="paragraph" w:styleId="BodyText2">
    <w:name w:val="Body Text 2"/>
    <w:basedOn w:val="Normal"/>
    <w:link w:val="BodyText2Char"/>
    <w:rsid w:val="0047738B"/>
    <w:pPr>
      <w:spacing w:after="120" w:line="480" w:lineRule="auto"/>
    </w:pPr>
  </w:style>
  <w:style w:type="character" w:customStyle="1" w:styleId="BodyText2Char">
    <w:name w:val="Body Text 2 Char"/>
    <w:basedOn w:val="DefaultParagraphFont"/>
    <w:link w:val="BodyText2"/>
    <w:rsid w:val="0047738B"/>
    <w:rPr>
      <w:rFonts w:cs="Times New Roman"/>
      <w:szCs w:val="24"/>
    </w:rPr>
  </w:style>
  <w:style w:type="paragraph" w:styleId="DocumentMap">
    <w:name w:val="Document Map"/>
    <w:basedOn w:val="Normal"/>
    <w:link w:val="DocumentMapChar"/>
    <w:semiHidden/>
    <w:rsid w:val="0047738B"/>
    <w:pPr>
      <w:shd w:val="clear" w:color="auto" w:fill="000080"/>
    </w:pPr>
    <w:rPr>
      <w:rFonts w:ascii="Tahoma" w:hAnsi="Tahoma" w:cs="Tahoma"/>
    </w:rPr>
  </w:style>
  <w:style w:type="character" w:customStyle="1" w:styleId="DocumentMapChar">
    <w:name w:val="Document Map Char"/>
    <w:basedOn w:val="DefaultParagraphFont"/>
    <w:link w:val="DocumentMap"/>
    <w:semiHidden/>
    <w:rsid w:val="0047738B"/>
    <w:rPr>
      <w:rFonts w:ascii="Tahoma" w:hAnsi="Tahoma" w:cs="Tahoma"/>
      <w:szCs w:val="24"/>
      <w:shd w:val="clear" w:color="auto" w:fill="000080"/>
    </w:rPr>
  </w:style>
  <w:style w:type="paragraph" w:customStyle="1" w:styleId="StyleJustified">
    <w:name w:val="Style Justified"/>
    <w:basedOn w:val="BlockText"/>
    <w:rsid w:val="0047738B"/>
    <w:rPr>
      <w:rFonts w:ascii="Arial" w:hAnsi="Arial"/>
      <w:szCs w:val="20"/>
    </w:rPr>
  </w:style>
  <w:style w:type="paragraph" w:styleId="BlockText">
    <w:name w:val="Block Text"/>
    <w:basedOn w:val="Normal"/>
    <w:rsid w:val="0047738B"/>
    <w:pPr>
      <w:spacing w:after="120"/>
      <w:ind w:left="1440" w:right="1440"/>
    </w:pPr>
  </w:style>
  <w:style w:type="paragraph" w:customStyle="1" w:styleId="Question1">
    <w:name w:val="Question 1"/>
    <w:basedOn w:val="Normal"/>
    <w:next w:val="BodyText"/>
    <w:link w:val="Question1Char"/>
    <w:uiPriority w:val="99"/>
    <w:rsid w:val="0047738B"/>
    <w:pPr>
      <w:keepNext/>
      <w:numPr>
        <w:numId w:val="2"/>
      </w:numPr>
      <w:spacing w:before="240" w:after="240"/>
      <w:outlineLvl w:val="0"/>
    </w:pPr>
    <w:rPr>
      <w:b/>
      <w:kern w:val="32"/>
    </w:rPr>
  </w:style>
  <w:style w:type="paragraph" w:customStyle="1" w:styleId="Question2">
    <w:name w:val="Question 2"/>
    <w:basedOn w:val="Normal"/>
    <w:next w:val="BodyText"/>
    <w:uiPriority w:val="99"/>
    <w:rsid w:val="0047738B"/>
    <w:pPr>
      <w:keepNext/>
      <w:numPr>
        <w:ilvl w:val="1"/>
        <w:numId w:val="2"/>
      </w:numPr>
      <w:spacing w:before="240" w:after="60"/>
      <w:outlineLvl w:val="1"/>
    </w:pPr>
    <w:rPr>
      <w:rFonts w:ascii="Arial" w:hAnsi="Arial" w:cs="Arial"/>
      <w:b/>
      <w:i/>
      <w:sz w:val="28"/>
    </w:rPr>
  </w:style>
  <w:style w:type="paragraph" w:customStyle="1" w:styleId="Question3">
    <w:name w:val="Question 3"/>
    <w:basedOn w:val="Normal"/>
    <w:next w:val="BodyText"/>
    <w:uiPriority w:val="99"/>
    <w:rsid w:val="0047738B"/>
    <w:pPr>
      <w:keepNext/>
      <w:numPr>
        <w:ilvl w:val="2"/>
        <w:numId w:val="2"/>
      </w:numPr>
      <w:spacing w:before="240" w:after="60"/>
      <w:outlineLvl w:val="2"/>
    </w:pPr>
    <w:rPr>
      <w:rFonts w:ascii="Arial" w:hAnsi="Arial" w:cs="Arial"/>
      <w:b/>
      <w:sz w:val="26"/>
    </w:rPr>
  </w:style>
  <w:style w:type="paragraph" w:customStyle="1" w:styleId="Question4">
    <w:name w:val="Question 4"/>
    <w:basedOn w:val="Normal"/>
    <w:next w:val="BodyText"/>
    <w:uiPriority w:val="99"/>
    <w:rsid w:val="0047738B"/>
    <w:pPr>
      <w:keepNext/>
      <w:numPr>
        <w:ilvl w:val="3"/>
        <w:numId w:val="2"/>
      </w:numPr>
      <w:spacing w:before="240" w:after="60"/>
      <w:outlineLvl w:val="3"/>
    </w:pPr>
    <w:rPr>
      <w:b/>
      <w:sz w:val="28"/>
    </w:rPr>
  </w:style>
  <w:style w:type="paragraph" w:customStyle="1" w:styleId="Question5">
    <w:name w:val="Question 5"/>
    <w:basedOn w:val="Normal"/>
    <w:next w:val="BodyText"/>
    <w:uiPriority w:val="99"/>
    <w:rsid w:val="0047738B"/>
    <w:pPr>
      <w:numPr>
        <w:ilvl w:val="4"/>
        <w:numId w:val="2"/>
      </w:numPr>
      <w:spacing w:before="240" w:after="60"/>
      <w:ind w:left="3600" w:hanging="360"/>
      <w:outlineLvl w:val="4"/>
    </w:pPr>
    <w:rPr>
      <w:b/>
      <w:i/>
      <w:sz w:val="26"/>
    </w:rPr>
  </w:style>
  <w:style w:type="paragraph" w:customStyle="1" w:styleId="Question6">
    <w:name w:val="Question 6"/>
    <w:basedOn w:val="Normal"/>
    <w:next w:val="BodyText"/>
    <w:uiPriority w:val="99"/>
    <w:rsid w:val="0047738B"/>
    <w:pPr>
      <w:numPr>
        <w:ilvl w:val="5"/>
        <w:numId w:val="2"/>
      </w:numPr>
      <w:spacing w:before="240" w:after="60"/>
      <w:outlineLvl w:val="5"/>
    </w:pPr>
    <w:rPr>
      <w:b/>
      <w:sz w:val="22"/>
    </w:rPr>
  </w:style>
  <w:style w:type="paragraph" w:customStyle="1" w:styleId="Question7">
    <w:name w:val="Question 7"/>
    <w:basedOn w:val="Normal"/>
    <w:next w:val="BodyText"/>
    <w:uiPriority w:val="99"/>
    <w:rsid w:val="0047738B"/>
    <w:pPr>
      <w:numPr>
        <w:ilvl w:val="6"/>
        <w:numId w:val="2"/>
      </w:numPr>
      <w:spacing w:before="240" w:after="60"/>
      <w:outlineLvl w:val="6"/>
    </w:pPr>
  </w:style>
  <w:style w:type="paragraph" w:customStyle="1" w:styleId="Question8">
    <w:name w:val="Question 8"/>
    <w:basedOn w:val="Normal"/>
    <w:next w:val="BodyText"/>
    <w:uiPriority w:val="99"/>
    <w:rsid w:val="0047738B"/>
    <w:pPr>
      <w:numPr>
        <w:ilvl w:val="7"/>
        <w:numId w:val="2"/>
      </w:numPr>
      <w:spacing w:before="240" w:after="60"/>
      <w:outlineLvl w:val="7"/>
    </w:pPr>
    <w:rPr>
      <w:i/>
    </w:rPr>
  </w:style>
  <w:style w:type="paragraph" w:customStyle="1" w:styleId="Question9">
    <w:name w:val="Question 9"/>
    <w:basedOn w:val="Normal"/>
    <w:next w:val="BodyText"/>
    <w:uiPriority w:val="99"/>
    <w:rsid w:val="0047738B"/>
    <w:pPr>
      <w:numPr>
        <w:ilvl w:val="8"/>
        <w:numId w:val="2"/>
      </w:numPr>
      <w:spacing w:before="240" w:after="60"/>
      <w:outlineLvl w:val="8"/>
    </w:pPr>
    <w:rPr>
      <w:rFonts w:ascii="Arial" w:hAnsi="Arial" w:cs="Arial"/>
      <w:sz w:val="22"/>
    </w:rPr>
  </w:style>
  <w:style w:type="paragraph" w:customStyle="1" w:styleId="Answer">
    <w:name w:val="Answer"/>
    <w:basedOn w:val="Answer1"/>
    <w:next w:val="Answer2"/>
    <w:link w:val="AnswerChar"/>
    <w:rsid w:val="0047738B"/>
    <w:rPr>
      <w:rFonts w:eastAsia="MS Mincho"/>
      <w:bCs/>
    </w:rPr>
  </w:style>
  <w:style w:type="paragraph" w:customStyle="1" w:styleId="Answer1">
    <w:name w:val="Answer 1"/>
    <w:basedOn w:val="Normal"/>
    <w:next w:val="BodyText"/>
    <w:link w:val="Answer1Char"/>
    <w:rsid w:val="0047738B"/>
    <w:pPr>
      <w:numPr>
        <w:numId w:val="3"/>
      </w:numPr>
      <w:spacing w:before="240" w:after="240" w:line="480" w:lineRule="auto"/>
      <w:outlineLvl w:val="0"/>
    </w:pPr>
  </w:style>
  <w:style w:type="paragraph" w:customStyle="1" w:styleId="Answer2">
    <w:name w:val="Answer 2"/>
    <w:basedOn w:val="Normal"/>
    <w:next w:val="BodyText"/>
    <w:link w:val="Answer2Char"/>
    <w:rsid w:val="0047738B"/>
    <w:pPr>
      <w:numPr>
        <w:ilvl w:val="1"/>
        <w:numId w:val="3"/>
      </w:numPr>
      <w:spacing w:after="240" w:line="480" w:lineRule="auto"/>
      <w:outlineLvl w:val="1"/>
    </w:pPr>
    <w:rPr>
      <w:rFonts w:eastAsia="MS Mincho"/>
    </w:rPr>
  </w:style>
  <w:style w:type="paragraph" w:styleId="BodyText3">
    <w:name w:val="Body Text 3"/>
    <w:basedOn w:val="Normal"/>
    <w:link w:val="BodyText3Char"/>
    <w:rsid w:val="0047738B"/>
    <w:pPr>
      <w:spacing w:after="120"/>
    </w:pPr>
    <w:rPr>
      <w:sz w:val="16"/>
      <w:szCs w:val="16"/>
    </w:rPr>
  </w:style>
  <w:style w:type="character" w:customStyle="1" w:styleId="BodyText3Char">
    <w:name w:val="Body Text 3 Char"/>
    <w:basedOn w:val="DefaultParagraphFont"/>
    <w:link w:val="BodyText3"/>
    <w:rsid w:val="0047738B"/>
    <w:rPr>
      <w:rFonts w:cs="Times New Roman"/>
      <w:sz w:val="16"/>
      <w:szCs w:val="16"/>
    </w:rPr>
  </w:style>
  <w:style w:type="character" w:customStyle="1" w:styleId="DeltaViewInsertion">
    <w:name w:val="DeltaView Insertion"/>
    <w:rsid w:val="0047738B"/>
    <w:rPr>
      <w:color w:val="0000FF"/>
      <w:spacing w:val="0"/>
      <w:u w:val="double"/>
    </w:rPr>
  </w:style>
  <w:style w:type="paragraph" w:styleId="FootnoteText">
    <w:name w:val="footnote text"/>
    <w:aliases w:val="Footnote Text Char3 Char,Footnote Text Char2 Char Char,Footnote Text Char1 Char1 Char Char,Footnote Text Char2 Char Char Char1 Char,Footnote Text Char1 Char1 Char Char Char Char,Footnote Text Char1 Char,fn Char Char,fn,f,ft Char,ft,Char,c"/>
    <w:basedOn w:val="Normal"/>
    <w:link w:val="FootnoteTextChar"/>
    <w:uiPriority w:val="99"/>
    <w:qFormat/>
    <w:rsid w:val="00092707"/>
    <w:pPr>
      <w:spacing w:after="120" w:line="240" w:lineRule="auto"/>
    </w:pPr>
    <w:rPr>
      <w:sz w:val="20"/>
      <w:szCs w:val="20"/>
    </w:rPr>
  </w:style>
  <w:style w:type="character" w:customStyle="1" w:styleId="FootnoteTextChar">
    <w:name w:val="Footnote Text Char"/>
    <w:aliases w:val="Footnote Text Char3 Char Char,Footnote Text Char2 Char Char Char,Footnote Text Char1 Char1 Char Char Char,Footnote Text Char2 Char Char Char1 Char Char,Footnote Text Char1 Char1 Char Char Char Char Char,Footnote Text Char1 Char Char"/>
    <w:basedOn w:val="DefaultParagraphFont"/>
    <w:link w:val="FootnoteText"/>
    <w:uiPriority w:val="99"/>
    <w:rsid w:val="00092707"/>
    <w:rPr>
      <w:rFonts w:cs="Times New Roman"/>
      <w:sz w:val="20"/>
      <w:szCs w:val="20"/>
    </w:rPr>
  </w:style>
  <w:style w:type="table" w:styleId="TableGrid">
    <w:name w:val="Table Grid"/>
    <w:basedOn w:val="TableNormal"/>
    <w:uiPriority w:val="59"/>
    <w:rsid w:val="0047738B"/>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3">
    <w:name w:val="Answer 3"/>
    <w:basedOn w:val="Answer2"/>
    <w:link w:val="Answer3Char"/>
    <w:rsid w:val="0047738B"/>
    <w:pPr>
      <w:numPr>
        <w:numId w:val="4"/>
      </w:numPr>
    </w:pPr>
  </w:style>
  <w:style w:type="character" w:customStyle="1" w:styleId="Answer2Char">
    <w:name w:val="Answer 2 Char"/>
    <w:link w:val="Answer2"/>
    <w:rsid w:val="0047738B"/>
    <w:rPr>
      <w:rFonts w:eastAsia="MS Mincho" w:cs="Times New Roman"/>
      <w:szCs w:val="24"/>
    </w:rPr>
  </w:style>
  <w:style w:type="character" w:customStyle="1" w:styleId="Answer3Char">
    <w:name w:val="Answer 3 Char"/>
    <w:basedOn w:val="Answer2Char"/>
    <w:link w:val="Answer3"/>
    <w:rsid w:val="0047738B"/>
    <w:rPr>
      <w:rFonts w:eastAsia="MS Mincho" w:cs="Times New Roman"/>
      <w:szCs w:val="24"/>
    </w:rPr>
  </w:style>
  <w:style w:type="character" w:customStyle="1" w:styleId="zzmpTrailerItem">
    <w:name w:val="zzmpTrailerItem"/>
    <w:basedOn w:val="DefaultParagraphFont"/>
    <w:rsid w:val="00241E7B"/>
    <w:rPr>
      <w:rFonts w:ascii="Times New Roman" w:hAnsi="Times New Roman" w:cs="Times New Roman"/>
      <w:dstrike w:val="0"/>
      <w:noProof/>
      <w:color w:val="auto"/>
      <w:spacing w:val="0"/>
      <w:position w:val="0"/>
      <w:sz w:val="16"/>
      <w:szCs w:val="16"/>
      <w:u w:val="none"/>
      <w:effect w:val="none"/>
      <w:vertAlign w:val="baseline"/>
    </w:rPr>
  </w:style>
  <w:style w:type="paragraph" w:styleId="EnvelopeAddress">
    <w:name w:val="envelope address"/>
    <w:basedOn w:val="Normal"/>
    <w:rsid w:val="0047738B"/>
    <w:pPr>
      <w:framePr w:w="7920" w:h="1980" w:hRule="exact" w:hSpace="180" w:wrap="auto" w:hAnchor="page" w:xAlign="center" w:yAlign="bottom"/>
      <w:ind w:left="2880"/>
    </w:pPr>
    <w:rPr>
      <w:rFonts w:ascii="Monotype Corsiva" w:hAnsi="Monotype Corsiva" w:cs="Arial"/>
      <w:b/>
      <w:i/>
      <w:color w:val="FF6600"/>
      <w:sz w:val="36"/>
      <w:szCs w:val="36"/>
    </w:rPr>
  </w:style>
  <w:style w:type="character" w:customStyle="1" w:styleId="Answer1Char">
    <w:name w:val="Answer 1 Char"/>
    <w:link w:val="Answer1"/>
    <w:rsid w:val="0047738B"/>
    <w:rPr>
      <w:rFonts w:cs="Times New Roman"/>
      <w:szCs w:val="24"/>
    </w:rPr>
  </w:style>
  <w:style w:type="paragraph" w:styleId="EnvelopeReturn">
    <w:name w:val="envelope return"/>
    <w:basedOn w:val="Normal"/>
    <w:rsid w:val="0047738B"/>
    <w:rPr>
      <w:rFonts w:ascii="Arial" w:hAnsi="Arial" w:cs="Arial"/>
      <w:sz w:val="20"/>
      <w:szCs w:val="20"/>
    </w:rPr>
  </w:style>
  <w:style w:type="character" w:customStyle="1" w:styleId="Question1Char">
    <w:name w:val="Question 1 Char"/>
    <w:link w:val="Question1"/>
    <w:uiPriority w:val="99"/>
    <w:rsid w:val="0047738B"/>
    <w:rPr>
      <w:rFonts w:cs="Times New Roman"/>
      <w:b/>
      <w:kern w:val="32"/>
      <w:szCs w:val="24"/>
    </w:rPr>
  </w:style>
  <w:style w:type="paragraph" w:customStyle="1" w:styleId="Style1">
    <w:name w:val="Style1"/>
    <w:basedOn w:val="Answer"/>
    <w:link w:val="Style1Char"/>
    <w:qFormat/>
    <w:rsid w:val="0047738B"/>
    <w:pPr>
      <w:numPr>
        <w:numId w:val="1"/>
      </w:numPr>
      <w:spacing w:before="120" w:after="120"/>
      <w:ind w:left="720" w:hanging="720"/>
    </w:pPr>
  </w:style>
  <w:style w:type="character" w:customStyle="1" w:styleId="AnswerChar">
    <w:name w:val="Answer Char"/>
    <w:link w:val="Answer"/>
    <w:rsid w:val="0047738B"/>
    <w:rPr>
      <w:rFonts w:eastAsia="MS Mincho" w:cs="Times New Roman"/>
      <w:bCs/>
      <w:szCs w:val="24"/>
    </w:rPr>
  </w:style>
  <w:style w:type="character" w:customStyle="1" w:styleId="Style1Char">
    <w:name w:val="Style1 Char"/>
    <w:basedOn w:val="AnswerChar"/>
    <w:link w:val="Style1"/>
    <w:rsid w:val="0047738B"/>
    <w:rPr>
      <w:rFonts w:eastAsia="MS Mincho" w:cs="Times New Roman"/>
      <w:bCs/>
      <w:szCs w:val="24"/>
    </w:rPr>
  </w:style>
  <w:style w:type="paragraph" w:customStyle="1" w:styleId="Indent">
    <w:name w:val="Indent"/>
    <w:basedOn w:val="Normal"/>
    <w:qFormat/>
    <w:rsid w:val="0047738B"/>
    <w:pPr>
      <w:spacing w:after="240"/>
      <w:ind w:left="720"/>
    </w:pPr>
    <w:rPr>
      <w:rFonts w:eastAsia="SimSun"/>
      <w:lang w:eastAsia="zh-CN"/>
    </w:rPr>
  </w:style>
  <w:style w:type="paragraph" w:styleId="ListParagraph">
    <w:name w:val="List Paragraph"/>
    <w:basedOn w:val="Normal"/>
    <w:link w:val="ListParagraphChar"/>
    <w:uiPriority w:val="34"/>
    <w:qFormat/>
    <w:rsid w:val="00575D5B"/>
    <w:pPr>
      <w:ind w:left="720"/>
      <w:contextualSpacing/>
    </w:pPr>
  </w:style>
  <w:style w:type="paragraph" w:customStyle="1" w:styleId="s4">
    <w:name w:val="s4"/>
    <w:basedOn w:val="Normal"/>
    <w:rsid w:val="0047738B"/>
    <w:pPr>
      <w:spacing w:before="100" w:beforeAutospacing="1" w:after="100" w:afterAutospacing="1"/>
    </w:pPr>
    <w:rPr>
      <w:rFonts w:eastAsia="Calibri"/>
    </w:rPr>
  </w:style>
  <w:style w:type="character" w:customStyle="1" w:styleId="bumpedfont20">
    <w:name w:val="bumpedfont20"/>
    <w:basedOn w:val="DefaultParagraphFont"/>
    <w:rsid w:val="0047738B"/>
  </w:style>
  <w:style w:type="paragraph" w:styleId="Revision">
    <w:name w:val="Revision"/>
    <w:hidden/>
    <w:uiPriority w:val="99"/>
    <w:semiHidden/>
    <w:rsid w:val="0047738B"/>
    <w:rPr>
      <w:rFonts w:cs="Times New Roman"/>
      <w:szCs w:val="24"/>
    </w:rPr>
  </w:style>
  <w:style w:type="character" w:styleId="FootnoteReference">
    <w:name w:val="footnote reference"/>
    <w:aliases w:val="Style 13,Style 12,Style 15,Style 17,o,fr,(NECG) Footnote Reference,Style 20,...,o1,fr1,o2,fr2,o3,fr3,Style 9,Style 18,Style 7,Style 8,Style 19,Styl,Style 24,Style 11,Style 28,Style 16,Footnote Reference (EIS),fnr,Style 27,o4,o5,o6,o11"/>
    <w:basedOn w:val="DefaultParagraphFont"/>
    <w:uiPriority w:val="99"/>
    <w:unhideWhenUsed/>
    <w:qFormat/>
    <w:rsid w:val="004264B8"/>
    <w:rPr>
      <w:vertAlign w:val="superscript"/>
    </w:rPr>
  </w:style>
  <w:style w:type="paragraph" w:styleId="NoSpacing">
    <w:name w:val="No Spacing"/>
    <w:uiPriority w:val="1"/>
    <w:qFormat/>
    <w:rsid w:val="00175185"/>
    <w:pPr>
      <w:spacing w:after="240" w:line="360" w:lineRule="auto"/>
      <w:contextualSpacing/>
    </w:pPr>
    <w:rPr>
      <w:rFonts w:ascii="Arial" w:eastAsiaTheme="minorHAnsi" w:hAnsi="Arial"/>
      <w:color w:val="1F497D" w:themeColor="text2"/>
      <w:sz w:val="22"/>
    </w:rPr>
  </w:style>
  <w:style w:type="paragraph" w:customStyle="1" w:styleId="xmsonormal">
    <w:name w:val="x_msonormal"/>
    <w:basedOn w:val="Normal"/>
    <w:rsid w:val="00C129FB"/>
    <w:rPr>
      <w:rFonts w:ascii="Calibri" w:eastAsiaTheme="minorHAnsi" w:hAnsi="Calibri" w:cs="Calibri"/>
      <w:sz w:val="22"/>
      <w:szCs w:val="22"/>
    </w:rPr>
  </w:style>
  <w:style w:type="paragraph" w:styleId="Caption">
    <w:name w:val="caption"/>
    <w:basedOn w:val="Normal"/>
    <w:next w:val="Normal"/>
    <w:link w:val="CaptionChar"/>
    <w:uiPriority w:val="35"/>
    <w:unhideWhenUsed/>
    <w:qFormat/>
    <w:rsid w:val="00D84506"/>
    <w:pPr>
      <w:spacing w:after="200"/>
    </w:pPr>
    <w:rPr>
      <w:rFonts w:asciiTheme="majorHAnsi" w:hAnsiTheme="majorHAnsi"/>
      <w:i/>
      <w:iCs/>
      <w:color w:val="1F497D" w:themeColor="text2"/>
      <w:sz w:val="18"/>
      <w:szCs w:val="18"/>
    </w:rPr>
  </w:style>
  <w:style w:type="character" w:customStyle="1" w:styleId="CaptionChar">
    <w:name w:val="Caption Char"/>
    <w:basedOn w:val="DefaultParagraphFont"/>
    <w:link w:val="Caption"/>
    <w:uiPriority w:val="35"/>
    <w:rsid w:val="00D84506"/>
    <w:rPr>
      <w:rFonts w:asciiTheme="majorHAnsi" w:hAnsiTheme="majorHAnsi" w:cs="Times New Roman"/>
      <w:i/>
      <w:iCs/>
      <w:color w:val="1F497D" w:themeColor="text2"/>
      <w:sz w:val="18"/>
      <w:szCs w:val="18"/>
    </w:rPr>
  </w:style>
  <w:style w:type="character" w:styleId="Hyperlink">
    <w:name w:val="Hyperlink"/>
    <w:basedOn w:val="DefaultParagraphFont"/>
    <w:uiPriority w:val="99"/>
    <w:unhideWhenUsed/>
    <w:rsid w:val="008B7D7B"/>
    <w:rPr>
      <w:color w:val="0000FF" w:themeColor="hyperlink"/>
      <w:u w:val="single"/>
    </w:rPr>
  </w:style>
  <w:style w:type="character" w:styleId="UnresolvedMention">
    <w:name w:val="Unresolved Mention"/>
    <w:basedOn w:val="DefaultParagraphFont"/>
    <w:uiPriority w:val="99"/>
    <w:semiHidden/>
    <w:unhideWhenUsed/>
    <w:rsid w:val="008B7D7B"/>
    <w:rPr>
      <w:color w:val="605E5C"/>
      <w:shd w:val="clear" w:color="auto" w:fill="E1DFDD"/>
    </w:rPr>
  </w:style>
  <w:style w:type="paragraph" w:styleId="EndnoteText">
    <w:name w:val="endnote text"/>
    <w:basedOn w:val="Normal"/>
    <w:link w:val="EndnoteTextChar"/>
    <w:uiPriority w:val="99"/>
    <w:semiHidden/>
    <w:unhideWhenUsed/>
    <w:rsid w:val="005602E6"/>
    <w:rPr>
      <w:sz w:val="20"/>
      <w:szCs w:val="20"/>
    </w:rPr>
  </w:style>
  <w:style w:type="character" w:customStyle="1" w:styleId="EndnoteTextChar">
    <w:name w:val="Endnote Text Char"/>
    <w:basedOn w:val="DefaultParagraphFont"/>
    <w:link w:val="EndnoteText"/>
    <w:uiPriority w:val="99"/>
    <w:semiHidden/>
    <w:rsid w:val="005602E6"/>
    <w:rPr>
      <w:rFonts w:cs="Times New Roman"/>
      <w:sz w:val="20"/>
      <w:szCs w:val="20"/>
    </w:rPr>
  </w:style>
  <w:style w:type="character" w:styleId="EndnoteReference">
    <w:name w:val="endnote reference"/>
    <w:basedOn w:val="DefaultParagraphFont"/>
    <w:uiPriority w:val="99"/>
    <w:semiHidden/>
    <w:unhideWhenUsed/>
    <w:rsid w:val="005602E6"/>
    <w:rPr>
      <w:vertAlign w:val="superscript"/>
    </w:rPr>
  </w:style>
  <w:style w:type="paragraph" w:styleId="TOCHeading">
    <w:name w:val="TOC Heading"/>
    <w:basedOn w:val="Heading1"/>
    <w:next w:val="Normal"/>
    <w:uiPriority w:val="39"/>
    <w:unhideWhenUsed/>
    <w:qFormat/>
    <w:rsid w:val="00904756"/>
    <w:pPr>
      <w:keepLines/>
      <w:numPr>
        <w:numId w:val="0"/>
      </w:numPr>
      <w:spacing w:line="259" w:lineRule="auto"/>
      <w:outlineLvl w:val="9"/>
    </w:pPr>
    <w:rPr>
      <w:rFonts w:asciiTheme="majorHAnsi" w:eastAsiaTheme="majorEastAsia" w:hAnsiTheme="majorHAnsi" w:cstheme="majorBidi"/>
      <w:b w:val="0"/>
      <w:bCs w:val="0"/>
      <w:color w:val="365F91" w:themeColor="accent1" w:themeShade="BF"/>
      <w:kern w:val="0"/>
    </w:rPr>
  </w:style>
  <w:style w:type="paragraph" w:styleId="TOC2">
    <w:name w:val="toc 2"/>
    <w:basedOn w:val="Normal"/>
    <w:next w:val="Normal"/>
    <w:autoRedefine/>
    <w:uiPriority w:val="39"/>
    <w:unhideWhenUsed/>
    <w:rsid w:val="00F22AB8"/>
    <w:pPr>
      <w:tabs>
        <w:tab w:val="left" w:pos="1440"/>
        <w:tab w:val="right" w:leader="dot" w:pos="8630"/>
      </w:tabs>
      <w:spacing w:after="100"/>
      <w:ind w:left="1440" w:hanging="720"/>
    </w:pPr>
    <w:rPr>
      <w:noProof/>
    </w:rPr>
  </w:style>
  <w:style w:type="paragraph" w:styleId="TOC1">
    <w:name w:val="toc 1"/>
    <w:basedOn w:val="Normal"/>
    <w:next w:val="Normal"/>
    <w:autoRedefine/>
    <w:uiPriority w:val="39"/>
    <w:unhideWhenUsed/>
    <w:rsid w:val="00F22AB8"/>
    <w:pPr>
      <w:tabs>
        <w:tab w:val="left" w:pos="720"/>
        <w:tab w:val="right" w:leader="dot" w:pos="8630"/>
      </w:tabs>
      <w:spacing w:after="100"/>
      <w:ind w:left="720" w:hanging="720"/>
    </w:pPr>
    <w:rPr>
      <w:noProof/>
    </w:rPr>
  </w:style>
  <w:style w:type="paragraph" w:styleId="TOC3">
    <w:name w:val="toc 3"/>
    <w:basedOn w:val="Normal"/>
    <w:next w:val="Normal"/>
    <w:autoRedefine/>
    <w:uiPriority w:val="39"/>
    <w:unhideWhenUsed/>
    <w:rsid w:val="00904756"/>
    <w:pPr>
      <w:spacing w:after="100"/>
      <w:ind w:left="480"/>
    </w:pPr>
  </w:style>
  <w:style w:type="paragraph" w:styleId="Title">
    <w:name w:val="Title"/>
    <w:basedOn w:val="Normal"/>
    <w:next w:val="Normal"/>
    <w:link w:val="TitleChar"/>
    <w:uiPriority w:val="10"/>
    <w:qFormat/>
    <w:rsid w:val="004F5A4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5A40"/>
    <w:rPr>
      <w:rFonts w:asciiTheme="majorHAnsi" w:eastAsiaTheme="majorEastAsia" w:hAnsiTheme="majorHAnsi" w:cstheme="majorBidi"/>
      <w:spacing w:val="-10"/>
      <w:kern w:val="28"/>
      <w:sz w:val="56"/>
      <w:szCs w:val="56"/>
    </w:rPr>
  </w:style>
  <w:style w:type="character" w:customStyle="1" w:styleId="ListParagraphChar">
    <w:name w:val="List Paragraph Char"/>
    <w:link w:val="ListParagraph"/>
    <w:uiPriority w:val="34"/>
    <w:rsid w:val="00306252"/>
    <w:rPr>
      <w:rFonts w:cs="Times New Roman"/>
      <w:szCs w:val="24"/>
    </w:rPr>
  </w:style>
  <w:style w:type="paragraph" w:customStyle="1" w:styleId="OutlineL1">
    <w:name w:val="Outline_L1"/>
    <w:basedOn w:val="Normal"/>
    <w:next w:val="BodyText"/>
    <w:rsid w:val="0051278E"/>
    <w:pPr>
      <w:keepNext/>
      <w:numPr>
        <w:numId w:val="6"/>
      </w:numPr>
      <w:spacing w:after="240" w:line="240" w:lineRule="auto"/>
      <w:jc w:val="left"/>
      <w:outlineLvl w:val="0"/>
    </w:pPr>
    <w:rPr>
      <w:b/>
      <w:sz w:val="28"/>
      <w:szCs w:val="20"/>
    </w:rPr>
  </w:style>
  <w:style w:type="paragraph" w:customStyle="1" w:styleId="OutlineL2">
    <w:name w:val="Outline_L2"/>
    <w:basedOn w:val="OutlineL1"/>
    <w:next w:val="BodyText"/>
    <w:rsid w:val="0051278E"/>
    <w:pPr>
      <w:keepNext w:val="0"/>
      <w:numPr>
        <w:ilvl w:val="1"/>
      </w:numPr>
      <w:outlineLvl w:val="1"/>
    </w:pPr>
    <w:rPr>
      <w:b w:val="0"/>
      <w:sz w:val="22"/>
    </w:rPr>
  </w:style>
  <w:style w:type="paragraph" w:customStyle="1" w:styleId="OutlineL3">
    <w:name w:val="Outline_L3"/>
    <w:basedOn w:val="OutlineL2"/>
    <w:next w:val="BodyText"/>
    <w:rsid w:val="0051278E"/>
    <w:pPr>
      <w:numPr>
        <w:ilvl w:val="2"/>
      </w:numPr>
      <w:outlineLvl w:val="2"/>
    </w:pPr>
  </w:style>
  <w:style w:type="paragraph" w:customStyle="1" w:styleId="OutlineL4">
    <w:name w:val="Outline_L4"/>
    <w:basedOn w:val="OutlineL3"/>
    <w:next w:val="BodyText"/>
    <w:link w:val="OutlineL4Char"/>
    <w:rsid w:val="0051278E"/>
    <w:pPr>
      <w:numPr>
        <w:ilvl w:val="3"/>
      </w:numPr>
      <w:outlineLvl w:val="3"/>
    </w:pPr>
  </w:style>
  <w:style w:type="character" w:customStyle="1" w:styleId="OutlineL4Char">
    <w:name w:val="Outline_L4 Char"/>
    <w:basedOn w:val="ListParagraphChar"/>
    <w:link w:val="OutlineL4"/>
    <w:rsid w:val="0051278E"/>
    <w:rPr>
      <w:rFonts w:cs="Times New Roman"/>
      <w:sz w:val="22"/>
      <w:szCs w:val="20"/>
    </w:rPr>
  </w:style>
  <w:style w:type="paragraph" w:customStyle="1" w:styleId="OutlineL5">
    <w:name w:val="Outline_L5"/>
    <w:basedOn w:val="OutlineL4"/>
    <w:next w:val="BodyText"/>
    <w:rsid w:val="0051278E"/>
    <w:pPr>
      <w:numPr>
        <w:ilvl w:val="4"/>
      </w:numPr>
      <w:tabs>
        <w:tab w:val="clear" w:pos="3600"/>
      </w:tabs>
      <w:ind w:left="2880" w:firstLine="0"/>
      <w:outlineLvl w:val="4"/>
    </w:pPr>
    <w:rPr>
      <w:szCs w:val="22"/>
    </w:rPr>
  </w:style>
  <w:style w:type="paragraph" w:customStyle="1" w:styleId="OutlineL6">
    <w:name w:val="Outline_L6"/>
    <w:basedOn w:val="OutlineL5"/>
    <w:next w:val="BodyText"/>
    <w:rsid w:val="0051278E"/>
    <w:pPr>
      <w:numPr>
        <w:ilvl w:val="5"/>
      </w:numPr>
      <w:tabs>
        <w:tab w:val="clear" w:pos="4320"/>
      </w:tabs>
      <w:ind w:left="4320" w:hanging="360"/>
      <w:outlineLvl w:val="5"/>
    </w:pPr>
  </w:style>
  <w:style w:type="paragraph" w:customStyle="1" w:styleId="OutlineL7">
    <w:name w:val="Outline_L7"/>
    <w:basedOn w:val="OutlineL6"/>
    <w:next w:val="BodyText"/>
    <w:rsid w:val="0051278E"/>
    <w:pPr>
      <w:numPr>
        <w:ilvl w:val="6"/>
      </w:numPr>
      <w:tabs>
        <w:tab w:val="clear" w:pos="5040"/>
      </w:tabs>
      <w:ind w:left="5040" w:hanging="360"/>
      <w:outlineLvl w:val="6"/>
    </w:pPr>
  </w:style>
  <w:style w:type="paragraph" w:customStyle="1" w:styleId="OutlineL8">
    <w:name w:val="Outline_L8"/>
    <w:basedOn w:val="OutlineL7"/>
    <w:next w:val="BodyText"/>
    <w:rsid w:val="0051278E"/>
    <w:pPr>
      <w:numPr>
        <w:ilvl w:val="7"/>
      </w:numPr>
      <w:tabs>
        <w:tab w:val="clear" w:pos="5760"/>
      </w:tabs>
      <w:ind w:left="5760" w:hanging="360"/>
      <w:outlineLvl w:val="7"/>
    </w:pPr>
  </w:style>
  <w:style w:type="paragraph" w:customStyle="1" w:styleId="OutlineL9">
    <w:name w:val="Outline_L9"/>
    <w:basedOn w:val="OutlineL8"/>
    <w:next w:val="BodyText"/>
    <w:rsid w:val="0051278E"/>
    <w:pPr>
      <w:numPr>
        <w:ilvl w:val="8"/>
      </w:numPr>
      <w:tabs>
        <w:tab w:val="clear" w:pos="6480"/>
      </w:tabs>
      <w:ind w:left="6480" w:hanging="360"/>
      <w:outlineLvl w:val="8"/>
    </w:pPr>
  </w:style>
  <w:style w:type="character" w:styleId="FollowedHyperlink">
    <w:name w:val="FollowedHyperlink"/>
    <w:basedOn w:val="DefaultParagraphFont"/>
    <w:uiPriority w:val="99"/>
    <w:semiHidden/>
    <w:unhideWhenUsed/>
    <w:rsid w:val="006D767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6861">
      <w:bodyDiv w:val="1"/>
      <w:marLeft w:val="0"/>
      <w:marRight w:val="0"/>
      <w:marTop w:val="0"/>
      <w:marBottom w:val="0"/>
      <w:divBdr>
        <w:top w:val="none" w:sz="0" w:space="0" w:color="auto"/>
        <w:left w:val="none" w:sz="0" w:space="0" w:color="auto"/>
        <w:bottom w:val="none" w:sz="0" w:space="0" w:color="auto"/>
        <w:right w:val="none" w:sz="0" w:space="0" w:color="auto"/>
      </w:divBdr>
    </w:div>
    <w:div w:id="47000232">
      <w:bodyDiv w:val="1"/>
      <w:marLeft w:val="0"/>
      <w:marRight w:val="0"/>
      <w:marTop w:val="0"/>
      <w:marBottom w:val="0"/>
      <w:divBdr>
        <w:top w:val="none" w:sz="0" w:space="0" w:color="auto"/>
        <w:left w:val="none" w:sz="0" w:space="0" w:color="auto"/>
        <w:bottom w:val="none" w:sz="0" w:space="0" w:color="auto"/>
        <w:right w:val="none" w:sz="0" w:space="0" w:color="auto"/>
      </w:divBdr>
    </w:div>
    <w:div w:id="123668323">
      <w:bodyDiv w:val="1"/>
      <w:marLeft w:val="0"/>
      <w:marRight w:val="0"/>
      <w:marTop w:val="0"/>
      <w:marBottom w:val="0"/>
      <w:divBdr>
        <w:top w:val="none" w:sz="0" w:space="0" w:color="auto"/>
        <w:left w:val="none" w:sz="0" w:space="0" w:color="auto"/>
        <w:bottom w:val="none" w:sz="0" w:space="0" w:color="auto"/>
        <w:right w:val="none" w:sz="0" w:space="0" w:color="auto"/>
      </w:divBdr>
    </w:div>
    <w:div w:id="201476341">
      <w:bodyDiv w:val="1"/>
      <w:marLeft w:val="0"/>
      <w:marRight w:val="0"/>
      <w:marTop w:val="0"/>
      <w:marBottom w:val="0"/>
      <w:divBdr>
        <w:top w:val="none" w:sz="0" w:space="0" w:color="auto"/>
        <w:left w:val="none" w:sz="0" w:space="0" w:color="auto"/>
        <w:bottom w:val="none" w:sz="0" w:space="0" w:color="auto"/>
        <w:right w:val="none" w:sz="0" w:space="0" w:color="auto"/>
      </w:divBdr>
    </w:div>
    <w:div w:id="221988139">
      <w:bodyDiv w:val="1"/>
      <w:marLeft w:val="0"/>
      <w:marRight w:val="0"/>
      <w:marTop w:val="0"/>
      <w:marBottom w:val="0"/>
      <w:divBdr>
        <w:top w:val="none" w:sz="0" w:space="0" w:color="auto"/>
        <w:left w:val="none" w:sz="0" w:space="0" w:color="auto"/>
        <w:bottom w:val="none" w:sz="0" w:space="0" w:color="auto"/>
        <w:right w:val="none" w:sz="0" w:space="0" w:color="auto"/>
      </w:divBdr>
    </w:div>
    <w:div w:id="222721518">
      <w:bodyDiv w:val="1"/>
      <w:marLeft w:val="0"/>
      <w:marRight w:val="0"/>
      <w:marTop w:val="0"/>
      <w:marBottom w:val="0"/>
      <w:divBdr>
        <w:top w:val="none" w:sz="0" w:space="0" w:color="auto"/>
        <w:left w:val="none" w:sz="0" w:space="0" w:color="auto"/>
        <w:bottom w:val="none" w:sz="0" w:space="0" w:color="auto"/>
        <w:right w:val="none" w:sz="0" w:space="0" w:color="auto"/>
      </w:divBdr>
    </w:div>
    <w:div w:id="231696709">
      <w:bodyDiv w:val="1"/>
      <w:marLeft w:val="0"/>
      <w:marRight w:val="0"/>
      <w:marTop w:val="0"/>
      <w:marBottom w:val="0"/>
      <w:divBdr>
        <w:top w:val="none" w:sz="0" w:space="0" w:color="auto"/>
        <w:left w:val="none" w:sz="0" w:space="0" w:color="auto"/>
        <w:bottom w:val="none" w:sz="0" w:space="0" w:color="auto"/>
        <w:right w:val="none" w:sz="0" w:space="0" w:color="auto"/>
      </w:divBdr>
    </w:div>
    <w:div w:id="245573901">
      <w:bodyDiv w:val="1"/>
      <w:marLeft w:val="0"/>
      <w:marRight w:val="0"/>
      <w:marTop w:val="0"/>
      <w:marBottom w:val="0"/>
      <w:divBdr>
        <w:top w:val="none" w:sz="0" w:space="0" w:color="auto"/>
        <w:left w:val="none" w:sz="0" w:space="0" w:color="auto"/>
        <w:bottom w:val="none" w:sz="0" w:space="0" w:color="auto"/>
        <w:right w:val="none" w:sz="0" w:space="0" w:color="auto"/>
      </w:divBdr>
    </w:div>
    <w:div w:id="255792263">
      <w:bodyDiv w:val="1"/>
      <w:marLeft w:val="0"/>
      <w:marRight w:val="0"/>
      <w:marTop w:val="0"/>
      <w:marBottom w:val="0"/>
      <w:divBdr>
        <w:top w:val="none" w:sz="0" w:space="0" w:color="auto"/>
        <w:left w:val="none" w:sz="0" w:space="0" w:color="auto"/>
        <w:bottom w:val="none" w:sz="0" w:space="0" w:color="auto"/>
        <w:right w:val="none" w:sz="0" w:space="0" w:color="auto"/>
      </w:divBdr>
    </w:div>
    <w:div w:id="319965437">
      <w:bodyDiv w:val="1"/>
      <w:marLeft w:val="0"/>
      <w:marRight w:val="0"/>
      <w:marTop w:val="0"/>
      <w:marBottom w:val="0"/>
      <w:divBdr>
        <w:top w:val="none" w:sz="0" w:space="0" w:color="auto"/>
        <w:left w:val="none" w:sz="0" w:space="0" w:color="auto"/>
        <w:bottom w:val="none" w:sz="0" w:space="0" w:color="auto"/>
        <w:right w:val="none" w:sz="0" w:space="0" w:color="auto"/>
      </w:divBdr>
    </w:div>
    <w:div w:id="325596671">
      <w:bodyDiv w:val="1"/>
      <w:marLeft w:val="0"/>
      <w:marRight w:val="0"/>
      <w:marTop w:val="0"/>
      <w:marBottom w:val="0"/>
      <w:divBdr>
        <w:top w:val="none" w:sz="0" w:space="0" w:color="auto"/>
        <w:left w:val="none" w:sz="0" w:space="0" w:color="auto"/>
        <w:bottom w:val="none" w:sz="0" w:space="0" w:color="auto"/>
        <w:right w:val="none" w:sz="0" w:space="0" w:color="auto"/>
      </w:divBdr>
    </w:div>
    <w:div w:id="358120197">
      <w:bodyDiv w:val="1"/>
      <w:marLeft w:val="0"/>
      <w:marRight w:val="0"/>
      <w:marTop w:val="0"/>
      <w:marBottom w:val="0"/>
      <w:divBdr>
        <w:top w:val="none" w:sz="0" w:space="0" w:color="auto"/>
        <w:left w:val="none" w:sz="0" w:space="0" w:color="auto"/>
        <w:bottom w:val="none" w:sz="0" w:space="0" w:color="auto"/>
        <w:right w:val="none" w:sz="0" w:space="0" w:color="auto"/>
      </w:divBdr>
    </w:div>
    <w:div w:id="478883976">
      <w:bodyDiv w:val="1"/>
      <w:marLeft w:val="0"/>
      <w:marRight w:val="0"/>
      <w:marTop w:val="0"/>
      <w:marBottom w:val="0"/>
      <w:divBdr>
        <w:top w:val="none" w:sz="0" w:space="0" w:color="auto"/>
        <w:left w:val="none" w:sz="0" w:space="0" w:color="auto"/>
        <w:bottom w:val="none" w:sz="0" w:space="0" w:color="auto"/>
        <w:right w:val="none" w:sz="0" w:space="0" w:color="auto"/>
      </w:divBdr>
    </w:div>
    <w:div w:id="480541756">
      <w:bodyDiv w:val="1"/>
      <w:marLeft w:val="0"/>
      <w:marRight w:val="0"/>
      <w:marTop w:val="0"/>
      <w:marBottom w:val="0"/>
      <w:divBdr>
        <w:top w:val="none" w:sz="0" w:space="0" w:color="auto"/>
        <w:left w:val="none" w:sz="0" w:space="0" w:color="auto"/>
        <w:bottom w:val="none" w:sz="0" w:space="0" w:color="auto"/>
        <w:right w:val="none" w:sz="0" w:space="0" w:color="auto"/>
      </w:divBdr>
    </w:div>
    <w:div w:id="487668370">
      <w:bodyDiv w:val="1"/>
      <w:marLeft w:val="0"/>
      <w:marRight w:val="0"/>
      <w:marTop w:val="0"/>
      <w:marBottom w:val="0"/>
      <w:divBdr>
        <w:top w:val="none" w:sz="0" w:space="0" w:color="auto"/>
        <w:left w:val="none" w:sz="0" w:space="0" w:color="auto"/>
        <w:bottom w:val="none" w:sz="0" w:space="0" w:color="auto"/>
        <w:right w:val="none" w:sz="0" w:space="0" w:color="auto"/>
      </w:divBdr>
    </w:div>
    <w:div w:id="552890030">
      <w:bodyDiv w:val="1"/>
      <w:marLeft w:val="0"/>
      <w:marRight w:val="0"/>
      <w:marTop w:val="0"/>
      <w:marBottom w:val="0"/>
      <w:divBdr>
        <w:top w:val="none" w:sz="0" w:space="0" w:color="auto"/>
        <w:left w:val="none" w:sz="0" w:space="0" w:color="auto"/>
        <w:bottom w:val="none" w:sz="0" w:space="0" w:color="auto"/>
        <w:right w:val="none" w:sz="0" w:space="0" w:color="auto"/>
      </w:divBdr>
    </w:div>
    <w:div w:id="623656715">
      <w:bodyDiv w:val="1"/>
      <w:marLeft w:val="0"/>
      <w:marRight w:val="0"/>
      <w:marTop w:val="0"/>
      <w:marBottom w:val="0"/>
      <w:divBdr>
        <w:top w:val="none" w:sz="0" w:space="0" w:color="auto"/>
        <w:left w:val="none" w:sz="0" w:space="0" w:color="auto"/>
        <w:bottom w:val="none" w:sz="0" w:space="0" w:color="auto"/>
        <w:right w:val="none" w:sz="0" w:space="0" w:color="auto"/>
      </w:divBdr>
    </w:div>
    <w:div w:id="643580214">
      <w:bodyDiv w:val="1"/>
      <w:marLeft w:val="0"/>
      <w:marRight w:val="0"/>
      <w:marTop w:val="0"/>
      <w:marBottom w:val="0"/>
      <w:divBdr>
        <w:top w:val="none" w:sz="0" w:space="0" w:color="auto"/>
        <w:left w:val="none" w:sz="0" w:space="0" w:color="auto"/>
        <w:bottom w:val="none" w:sz="0" w:space="0" w:color="auto"/>
        <w:right w:val="none" w:sz="0" w:space="0" w:color="auto"/>
      </w:divBdr>
    </w:div>
    <w:div w:id="721297474">
      <w:bodyDiv w:val="1"/>
      <w:marLeft w:val="0"/>
      <w:marRight w:val="0"/>
      <w:marTop w:val="0"/>
      <w:marBottom w:val="0"/>
      <w:divBdr>
        <w:top w:val="none" w:sz="0" w:space="0" w:color="auto"/>
        <w:left w:val="none" w:sz="0" w:space="0" w:color="auto"/>
        <w:bottom w:val="none" w:sz="0" w:space="0" w:color="auto"/>
        <w:right w:val="none" w:sz="0" w:space="0" w:color="auto"/>
      </w:divBdr>
    </w:div>
    <w:div w:id="728963669">
      <w:bodyDiv w:val="1"/>
      <w:marLeft w:val="0"/>
      <w:marRight w:val="0"/>
      <w:marTop w:val="0"/>
      <w:marBottom w:val="0"/>
      <w:divBdr>
        <w:top w:val="none" w:sz="0" w:space="0" w:color="auto"/>
        <w:left w:val="none" w:sz="0" w:space="0" w:color="auto"/>
        <w:bottom w:val="none" w:sz="0" w:space="0" w:color="auto"/>
        <w:right w:val="none" w:sz="0" w:space="0" w:color="auto"/>
      </w:divBdr>
    </w:div>
    <w:div w:id="771171796">
      <w:bodyDiv w:val="1"/>
      <w:marLeft w:val="0"/>
      <w:marRight w:val="0"/>
      <w:marTop w:val="0"/>
      <w:marBottom w:val="0"/>
      <w:divBdr>
        <w:top w:val="none" w:sz="0" w:space="0" w:color="auto"/>
        <w:left w:val="none" w:sz="0" w:space="0" w:color="auto"/>
        <w:bottom w:val="none" w:sz="0" w:space="0" w:color="auto"/>
        <w:right w:val="none" w:sz="0" w:space="0" w:color="auto"/>
      </w:divBdr>
    </w:div>
    <w:div w:id="801193282">
      <w:bodyDiv w:val="1"/>
      <w:marLeft w:val="0"/>
      <w:marRight w:val="0"/>
      <w:marTop w:val="0"/>
      <w:marBottom w:val="0"/>
      <w:divBdr>
        <w:top w:val="none" w:sz="0" w:space="0" w:color="auto"/>
        <w:left w:val="none" w:sz="0" w:space="0" w:color="auto"/>
        <w:bottom w:val="none" w:sz="0" w:space="0" w:color="auto"/>
        <w:right w:val="none" w:sz="0" w:space="0" w:color="auto"/>
      </w:divBdr>
    </w:div>
    <w:div w:id="824009961">
      <w:bodyDiv w:val="1"/>
      <w:marLeft w:val="0"/>
      <w:marRight w:val="0"/>
      <w:marTop w:val="0"/>
      <w:marBottom w:val="0"/>
      <w:divBdr>
        <w:top w:val="none" w:sz="0" w:space="0" w:color="auto"/>
        <w:left w:val="none" w:sz="0" w:space="0" w:color="auto"/>
        <w:bottom w:val="none" w:sz="0" w:space="0" w:color="auto"/>
        <w:right w:val="none" w:sz="0" w:space="0" w:color="auto"/>
      </w:divBdr>
    </w:div>
    <w:div w:id="916401907">
      <w:bodyDiv w:val="1"/>
      <w:marLeft w:val="0"/>
      <w:marRight w:val="0"/>
      <w:marTop w:val="0"/>
      <w:marBottom w:val="0"/>
      <w:divBdr>
        <w:top w:val="none" w:sz="0" w:space="0" w:color="auto"/>
        <w:left w:val="none" w:sz="0" w:space="0" w:color="auto"/>
        <w:bottom w:val="none" w:sz="0" w:space="0" w:color="auto"/>
        <w:right w:val="none" w:sz="0" w:space="0" w:color="auto"/>
      </w:divBdr>
    </w:div>
    <w:div w:id="919828991">
      <w:bodyDiv w:val="1"/>
      <w:marLeft w:val="0"/>
      <w:marRight w:val="0"/>
      <w:marTop w:val="0"/>
      <w:marBottom w:val="0"/>
      <w:divBdr>
        <w:top w:val="none" w:sz="0" w:space="0" w:color="auto"/>
        <w:left w:val="none" w:sz="0" w:space="0" w:color="auto"/>
        <w:bottom w:val="none" w:sz="0" w:space="0" w:color="auto"/>
        <w:right w:val="none" w:sz="0" w:space="0" w:color="auto"/>
      </w:divBdr>
    </w:div>
    <w:div w:id="933707493">
      <w:bodyDiv w:val="1"/>
      <w:marLeft w:val="0"/>
      <w:marRight w:val="0"/>
      <w:marTop w:val="0"/>
      <w:marBottom w:val="0"/>
      <w:divBdr>
        <w:top w:val="none" w:sz="0" w:space="0" w:color="auto"/>
        <w:left w:val="none" w:sz="0" w:space="0" w:color="auto"/>
        <w:bottom w:val="none" w:sz="0" w:space="0" w:color="auto"/>
        <w:right w:val="none" w:sz="0" w:space="0" w:color="auto"/>
      </w:divBdr>
    </w:div>
    <w:div w:id="943658102">
      <w:bodyDiv w:val="1"/>
      <w:marLeft w:val="0"/>
      <w:marRight w:val="0"/>
      <w:marTop w:val="0"/>
      <w:marBottom w:val="0"/>
      <w:divBdr>
        <w:top w:val="none" w:sz="0" w:space="0" w:color="auto"/>
        <w:left w:val="none" w:sz="0" w:space="0" w:color="auto"/>
        <w:bottom w:val="none" w:sz="0" w:space="0" w:color="auto"/>
        <w:right w:val="none" w:sz="0" w:space="0" w:color="auto"/>
      </w:divBdr>
    </w:div>
    <w:div w:id="943926505">
      <w:bodyDiv w:val="1"/>
      <w:marLeft w:val="0"/>
      <w:marRight w:val="0"/>
      <w:marTop w:val="0"/>
      <w:marBottom w:val="0"/>
      <w:divBdr>
        <w:top w:val="none" w:sz="0" w:space="0" w:color="auto"/>
        <w:left w:val="none" w:sz="0" w:space="0" w:color="auto"/>
        <w:bottom w:val="none" w:sz="0" w:space="0" w:color="auto"/>
        <w:right w:val="none" w:sz="0" w:space="0" w:color="auto"/>
      </w:divBdr>
    </w:div>
    <w:div w:id="960190300">
      <w:bodyDiv w:val="1"/>
      <w:marLeft w:val="0"/>
      <w:marRight w:val="0"/>
      <w:marTop w:val="0"/>
      <w:marBottom w:val="0"/>
      <w:divBdr>
        <w:top w:val="none" w:sz="0" w:space="0" w:color="auto"/>
        <w:left w:val="none" w:sz="0" w:space="0" w:color="auto"/>
        <w:bottom w:val="none" w:sz="0" w:space="0" w:color="auto"/>
        <w:right w:val="none" w:sz="0" w:space="0" w:color="auto"/>
      </w:divBdr>
    </w:div>
    <w:div w:id="980037474">
      <w:bodyDiv w:val="1"/>
      <w:marLeft w:val="0"/>
      <w:marRight w:val="0"/>
      <w:marTop w:val="0"/>
      <w:marBottom w:val="0"/>
      <w:divBdr>
        <w:top w:val="none" w:sz="0" w:space="0" w:color="auto"/>
        <w:left w:val="none" w:sz="0" w:space="0" w:color="auto"/>
        <w:bottom w:val="none" w:sz="0" w:space="0" w:color="auto"/>
        <w:right w:val="none" w:sz="0" w:space="0" w:color="auto"/>
      </w:divBdr>
    </w:div>
    <w:div w:id="988942635">
      <w:bodyDiv w:val="1"/>
      <w:marLeft w:val="0"/>
      <w:marRight w:val="0"/>
      <w:marTop w:val="0"/>
      <w:marBottom w:val="0"/>
      <w:divBdr>
        <w:top w:val="none" w:sz="0" w:space="0" w:color="auto"/>
        <w:left w:val="none" w:sz="0" w:space="0" w:color="auto"/>
        <w:bottom w:val="none" w:sz="0" w:space="0" w:color="auto"/>
        <w:right w:val="none" w:sz="0" w:space="0" w:color="auto"/>
      </w:divBdr>
    </w:div>
    <w:div w:id="1026558113">
      <w:bodyDiv w:val="1"/>
      <w:marLeft w:val="0"/>
      <w:marRight w:val="0"/>
      <w:marTop w:val="0"/>
      <w:marBottom w:val="0"/>
      <w:divBdr>
        <w:top w:val="none" w:sz="0" w:space="0" w:color="auto"/>
        <w:left w:val="none" w:sz="0" w:space="0" w:color="auto"/>
        <w:bottom w:val="none" w:sz="0" w:space="0" w:color="auto"/>
        <w:right w:val="none" w:sz="0" w:space="0" w:color="auto"/>
      </w:divBdr>
    </w:div>
    <w:div w:id="1040547415">
      <w:bodyDiv w:val="1"/>
      <w:marLeft w:val="0"/>
      <w:marRight w:val="0"/>
      <w:marTop w:val="0"/>
      <w:marBottom w:val="0"/>
      <w:divBdr>
        <w:top w:val="none" w:sz="0" w:space="0" w:color="auto"/>
        <w:left w:val="none" w:sz="0" w:space="0" w:color="auto"/>
        <w:bottom w:val="none" w:sz="0" w:space="0" w:color="auto"/>
        <w:right w:val="none" w:sz="0" w:space="0" w:color="auto"/>
      </w:divBdr>
    </w:div>
    <w:div w:id="1049189505">
      <w:bodyDiv w:val="1"/>
      <w:marLeft w:val="0"/>
      <w:marRight w:val="0"/>
      <w:marTop w:val="0"/>
      <w:marBottom w:val="0"/>
      <w:divBdr>
        <w:top w:val="none" w:sz="0" w:space="0" w:color="auto"/>
        <w:left w:val="none" w:sz="0" w:space="0" w:color="auto"/>
        <w:bottom w:val="none" w:sz="0" w:space="0" w:color="auto"/>
        <w:right w:val="none" w:sz="0" w:space="0" w:color="auto"/>
      </w:divBdr>
    </w:div>
    <w:div w:id="1058744246">
      <w:bodyDiv w:val="1"/>
      <w:marLeft w:val="0"/>
      <w:marRight w:val="0"/>
      <w:marTop w:val="0"/>
      <w:marBottom w:val="0"/>
      <w:divBdr>
        <w:top w:val="none" w:sz="0" w:space="0" w:color="auto"/>
        <w:left w:val="none" w:sz="0" w:space="0" w:color="auto"/>
        <w:bottom w:val="none" w:sz="0" w:space="0" w:color="auto"/>
        <w:right w:val="none" w:sz="0" w:space="0" w:color="auto"/>
      </w:divBdr>
    </w:div>
    <w:div w:id="1096749226">
      <w:bodyDiv w:val="1"/>
      <w:marLeft w:val="0"/>
      <w:marRight w:val="0"/>
      <w:marTop w:val="0"/>
      <w:marBottom w:val="0"/>
      <w:divBdr>
        <w:top w:val="none" w:sz="0" w:space="0" w:color="auto"/>
        <w:left w:val="none" w:sz="0" w:space="0" w:color="auto"/>
        <w:bottom w:val="none" w:sz="0" w:space="0" w:color="auto"/>
        <w:right w:val="none" w:sz="0" w:space="0" w:color="auto"/>
      </w:divBdr>
    </w:div>
    <w:div w:id="1104761139">
      <w:bodyDiv w:val="1"/>
      <w:marLeft w:val="0"/>
      <w:marRight w:val="0"/>
      <w:marTop w:val="0"/>
      <w:marBottom w:val="0"/>
      <w:divBdr>
        <w:top w:val="none" w:sz="0" w:space="0" w:color="auto"/>
        <w:left w:val="none" w:sz="0" w:space="0" w:color="auto"/>
        <w:bottom w:val="none" w:sz="0" w:space="0" w:color="auto"/>
        <w:right w:val="none" w:sz="0" w:space="0" w:color="auto"/>
      </w:divBdr>
    </w:div>
    <w:div w:id="1269577653">
      <w:bodyDiv w:val="1"/>
      <w:marLeft w:val="0"/>
      <w:marRight w:val="0"/>
      <w:marTop w:val="0"/>
      <w:marBottom w:val="0"/>
      <w:divBdr>
        <w:top w:val="none" w:sz="0" w:space="0" w:color="auto"/>
        <w:left w:val="none" w:sz="0" w:space="0" w:color="auto"/>
        <w:bottom w:val="none" w:sz="0" w:space="0" w:color="auto"/>
        <w:right w:val="none" w:sz="0" w:space="0" w:color="auto"/>
      </w:divBdr>
    </w:div>
    <w:div w:id="1319992846">
      <w:bodyDiv w:val="1"/>
      <w:marLeft w:val="0"/>
      <w:marRight w:val="0"/>
      <w:marTop w:val="0"/>
      <w:marBottom w:val="0"/>
      <w:divBdr>
        <w:top w:val="none" w:sz="0" w:space="0" w:color="auto"/>
        <w:left w:val="none" w:sz="0" w:space="0" w:color="auto"/>
        <w:bottom w:val="none" w:sz="0" w:space="0" w:color="auto"/>
        <w:right w:val="none" w:sz="0" w:space="0" w:color="auto"/>
      </w:divBdr>
    </w:div>
    <w:div w:id="1357346571">
      <w:bodyDiv w:val="1"/>
      <w:marLeft w:val="0"/>
      <w:marRight w:val="0"/>
      <w:marTop w:val="0"/>
      <w:marBottom w:val="0"/>
      <w:divBdr>
        <w:top w:val="none" w:sz="0" w:space="0" w:color="auto"/>
        <w:left w:val="none" w:sz="0" w:space="0" w:color="auto"/>
        <w:bottom w:val="none" w:sz="0" w:space="0" w:color="auto"/>
        <w:right w:val="none" w:sz="0" w:space="0" w:color="auto"/>
      </w:divBdr>
    </w:div>
    <w:div w:id="1371611902">
      <w:bodyDiv w:val="1"/>
      <w:marLeft w:val="0"/>
      <w:marRight w:val="0"/>
      <w:marTop w:val="0"/>
      <w:marBottom w:val="0"/>
      <w:divBdr>
        <w:top w:val="none" w:sz="0" w:space="0" w:color="auto"/>
        <w:left w:val="none" w:sz="0" w:space="0" w:color="auto"/>
        <w:bottom w:val="none" w:sz="0" w:space="0" w:color="auto"/>
        <w:right w:val="none" w:sz="0" w:space="0" w:color="auto"/>
      </w:divBdr>
    </w:div>
    <w:div w:id="1399598351">
      <w:bodyDiv w:val="1"/>
      <w:marLeft w:val="0"/>
      <w:marRight w:val="0"/>
      <w:marTop w:val="0"/>
      <w:marBottom w:val="0"/>
      <w:divBdr>
        <w:top w:val="none" w:sz="0" w:space="0" w:color="auto"/>
        <w:left w:val="none" w:sz="0" w:space="0" w:color="auto"/>
        <w:bottom w:val="none" w:sz="0" w:space="0" w:color="auto"/>
        <w:right w:val="none" w:sz="0" w:space="0" w:color="auto"/>
      </w:divBdr>
    </w:div>
    <w:div w:id="1433671612">
      <w:bodyDiv w:val="1"/>
      <w:marLeft w:val="0"/>
      <w:marRight w:val="0"/>
      <w:marTop w:val="0"/>
      <w:marBottom w:val="0"/>
      <w:divBdr>
        <w:top w:val="none" w:sz="0" w:space="0" w:color="auto"/>
        <w:left w:val="none" w:sz="0" w:space="0" w:color="auto"/>
        <w:bottom w:val="none" w:sz="0" w:space="0" w:color="auto"/>
        <w:right w:val="none" w:sz="0" w:space="0" w:color="auto"/>
      </w:divBdr>
    </w:div>
    <w:div w:id="1458179072">
      <w:bodyDiv w:val="1"/>
      <w:marLeft w:val="0"/>
      <w:marRight w:val="0"/>
      <w:marTop w:val="0"/>
      <w:marBottom w:val="0"/>
      <w:divBdr>
        <w:top w:val="none" w:sz="0" w:space="0" w:color="auto"/>
        <w:left w:val="none" w:sz="0" w:space="0" w:color="auto"/>
        <w:bottom w:val="none" w:sz="0" w:space="0" w:color="auto"/>
        <w:right w:val="none" w:sz="0" w:space="0" w:color="auto"/>
      </w:divBdr>
    </w:div>
    <w:div w:id="1470245780">
      <w:bodyDiv w:val="1"/>
      <w:marLeft w:val="0"/>
      <w:marRight w:val="0"/>
      <w:marTop w:val="0"/>
      <w:marBottom w:val="0"/>
      <w:divBdr>
        <w:top w:val="none" w:sz="0" w:space="0" w:color="auto"/>
        <w:left w:val="none" w:sz="0" w:space="0" w:color="auto"/>
        <w:bottom w:val="none" w:sz="0" w:space="0" w:color="auto"/>
        <w:right w:val="none" w:sz="0" w:space="0" w:color="auto"/>
      </w:divBdr>
    </w:div>
    <w:div w:id="1494561228">
      <w:bodyDiv w:val="1"/>
      <w:marLeft w:val="0"/>
      <w:marRight w:val="0"/>
      <w:marTop w:val="0"/>
      <w:marBottom w:val="0"/>
      <w:divBdr>
        <w:top w:val="none" w:sz="0" w:space="0" w:color="auto"/>
        <w:left w:val="none" w:sz="0" w:space="0" w:color="auto"/>
        <w:bottom w:val="none" w:sz="0" w:space="0" w:color="auto"/>
        <w:right w:val="none" w:sz="0" w:space="0" w:color="auto"/>
      </w:divBdr>
    </w:div>
    <w:div w:id="1497842288">
      <w:bodyDiv w:val="1"/>
      <w:marLeft w:val="0"/>
      <w:marRight w:val="0"/>
      <w:marTop w:val="0"/>
      <w:marBottom w:val="0"/>
      <w:divBdr>
        <w:top w:val="none" w:sz="0" w:space="0" w:color="auto"/>
        <w:left w:val="none" w:sz="0" w:space="0" w:color="auto"/>
        <w:bottom w:val="none" w:sz="0" w:space="0" w:color="auto"/>
        <w:right w:val="none" w:sz="0" w:space="0" w:color="auto"/>
      </w:divBdr>
    </w:div>
    <w:div w:id="1517496640">
      <w:bodyDiv w:val="1"/>
      <w:marLeft w:val="0"/>
      <w:marRight w:val="0"/>
      <w:marTop w:val="0"/>
      <w:marBottom w:val="0"/>
      <w:divBdr>
        <w:top w:val="none" w:sz="0" w:space="0" w:color="auto"/>
        <w:left w:val="none" w:sz="0" w:space="0" w:color="auto"/>
        <w:bottom w:val="none" w:sz="0" w:space="0" w:color="auto"/>
        <w:right w:val="none" w:sz="0" w:space="0" w:color="auto"/>
      </w:divBdr>
    </w:div>
    <w:div w:id="1540781219">
      <w:bodyDiv w:val="1"/>
      <w:marLeft w:val="0"/>
      <w:marRight w:val="0"/>
      <w:marTop w:val="0"/>
      <w:marBottom w:val="0"/>
      <w:divBdr>
        <w:top w:val="none" w:sz="0" w:space="0" w:color="auto"/>
        <w:left w:val="none" w:sz="0" w:space="0" w:color="auto"/>
        <w:bottom w:val="none" w:sz="0" w:space="0" w:color="auto"/>
        <w:right w:val="none" w:sz="0" w:space="0" w:color="auto"/>
      </w:divBdr>
    </w:div>
    <w:div w:id="1578710823">
      <w:bodyDiv w:val="1"/>
      <w:marLeft w:val="0"/>
      <w:marRight w:val="0"/>
      <w:marTop w:val="0"/>
      <w:marBottom w:val="0"/>
      <w:divBdr>
        <w:top w:val="none" w:sz="0" w:space="0" w:color="auto"/>
        <w:left w:val="none" w:sz="0" w:space="0" w:color="auto"/>
        <w:bottom w:val="none" w:sz="0" w:space="0" w:color="auto"/>
        <w:right w:val="none" w:sz="0" w:space="0" w:color="auto"/>
      </w:divBdr>
    </w:div>
    <w:div w:id="1595555822">
      <w:bodyDiv w:val="1"/>
      <w:marLeft w:val="0"/>
      <w:marRight w:val="0"/>
      <w:marTop w:val="0"/>
      <w:marBottom w:val="0"/>
      <w:divBdr>
        <w:top w:val="none" w:sz="0" w:space="0" w:color="auto"/>
        <w:left w:val="none" w:sz="0" w:space="0" w:color="auto"/>
        <w:bottom w:val="none" w:sz="0" w:space="0" w:color="auto"/>
        <w:right w:val="none" w:sz="0" w:space="0" w:color="auto"/>
      </w:divBdr>
    </w:div>
    <w:div w:id="1610119282">
      <w:bodyDiv w:val="1"/>
      <w:marLeft w:val="0"/>
      <w:marRight w:val="0"/>
      <w:marTop w:val="0"/>
      <w:marBottom w:val="0"/>
      <w:divBdr>
        <w:top w:val="none" w:sz="0" w:space="0" w:color="auto"/>
        <w:left w:val="none" w:sz="0" w:space="0" w:color="auto"/>
        <w:bottom w:val="none" w:sz="0" w:space="0" w:color="auto"/>
        <w:right w:val="none" w:sz="0" w:space="0" w:color="auto"/>
      </w:divBdr>
    </w:div>
    <w:div w:id="1709453505">
      <w:bodyDiv w:val="1"/>
      <w:marLeft w:val="0"/>
      <w:marRight w:val="0"/>
      <w:marTop w:val="0"/>
      <w:marBottom w:val="0"/>
      <w:divBdr>
        <w:top w:val="none" w:sz="0" w:space="0" w:color="auto"/>
        <w:left w:val="none" w:sz="0" w:space="0" w:color="auto"/>
        <w:bottom w:val="none" w:sz="0" w:space="0" w:color="auto"/>
        <w:right w:val="none" w:sz="0" w:space="0" w:color="auto"/>
      </w:divBdr>
    </w:div>
    <w:div w:id="1754474823">
      <w:bodyDiv w:val="1"/>
      <w:marLeft w:val="0"/>
      <w:marRight w:val="0"/>
      <w:marTop w:val="0"/>
      <w:marBottom w:val="0"/>
      <w:divBdr>
        <w:top w:val="none" w:sz="0" w:space="0" w:color="auto"/>
        <w:left w:val="none" w:sz="0" w:space="0" w:color="auto"/>
        <w:bottom w:val="none" w:sz="0" w:space="0" w:color="auto"/>
        <w:right w:val="none" w:sz="0" w:space="0" w:color="auto"/>
      </w:divBdr>
    </w:div>
    <w:div w:id="1770929487">
      <w:bodyDiv w:val="1"/>
      <w:marLeft w:val="0"/>
      <w:marRight w:val="0"/>
      <w:marTop w:val="0"/>
      <w:marBottom w:val="0"/>
      <w:divBdr>
        <w:top w:val="none" w:sz="0" w:space="0" w:color="auto"/>
        <w:left w:val="none" w:sz="0" w:space="0" w:color="auto"/>
        <w:bottom w:val="none" w:sz="0" w:space="0" w:color="auto"/>
        <w:right w:val="none" w:sz="0" w:space="0" w:color="auto"/>
      </w:divBdr>
    </w:div>
    <w:div w:id="1863856894">
      <w:bodyDiv w:val="1"/>
      <w:marLeft w:val="0"/>
      <w:marRight w:val="0"/>
      <w:marTop w:val="0"/>
      <w:marBottom w:val="0"/>
      <w:divBdr>
        <w:top w:val="none" w:sz="0" w:space="0" w:color="auto"/>
        <w:left w:val="none" w:sz="0" w:space="0" w:color="auto"/>
        <w:bottom w:val="none" w:sz="0" w:space="0" w:color="auto"/>
        <w:right w:val="none" w:sz="0" w:space="0" w:color="auto"/>
      </w:divBdr>
    </w:div>
    <w:div w:id="1984845477">
      <w:bodyDiv w:val="1"/>
      <w:marLeft w:val="0"/>
      <w:marRight w:val="0"/>
      <w:marTop w:val="0"/>
      <w:marBottom w:val="0"/>
      <w:divBdr>
        <w:top w:val="none" w:sz="0" w:space="0" w:color="auto"/>
        <w:left w:val="none" w:sz="0" w:space="0" w:color="auto"/>
        <w:bottom w:val="none" w:sz="0" w:space="0" w:color="auto"/>
        <w:right w:val="none" w:sz="0" w:space="0" w:color="auto"/>
      </w:divBdr>
    </w:div>
    <w:div w:id="2070961394">
      <w:bodyDiv w:val="1"/>
      <w:marLeft w:val="0"/>
      <w:marRight w:val="0"/>
      <w:marTop w:val="0"/>
      <w:marBottom w:val="0"/>
      <w:divBdr>
        <w:top w:val="none" w:sz="0" w:space="0" w:color="auto"/>
        <w:left w:val="none" w:sz="0" w:space="0" w:color="auto"/>
        <w:bottom w:val="none" w:sz="0" w:space="0" w:color="auto"/>
        <w:right w:val="none" w:sz="0" w:space="0" w:color="auto"/>
      </w:divBdr>
    </w:div>
    <w:div w:id="2081562981">
      <w:bodyDiv w:val="1"/>
      <w:marLeft w:val="0"/>
      <w:marRight w:val="0"/>
      <w:marTop w:val="0"/>
      <w:marBottom w:val="0"/>
      <w:divBdr>
        <w:top w:val="none" w:sz="0" w:space="0" w:color="auto"/>
        <w:left w:val="none" w:sz="0" w:space="0" w:color="auto"/>
        <w:bottom w:val="none" w:sz="0" w:space="0" w:color="auto"/>
        <w:right w:val="none" w:sz="0" w:space="0" w:color="auto"/>
      </w:divBdr>
    </w:div>
    <w:div w:id="2106539299">
      <w:bodyDiv w:val="1"/>
      <w:marLeft w:val="0"/>
      <w:marRight w:val="0"/>
      <w:marTop w:val="0"/>
      <w:marBottom w:val="0"/>
      <w:divBdr>
        <w:top w:val="none" w:sz="0" w:space="0" w:color="auto"/>
        <w:left w:val="none" w:sz="0" w:space="0" w:color="auto"/>
        <w:bottom w:val="none" w:sz="0" w:space="0" w:color="auto"/>
        <w:right w:val="none" w:sz="0" w:space="0" w:color="auto"/>
      </w:divBdr>
    </w:div>
    <w:div w:id="211605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nerc.com/comm/PC/Probabilistic%20Assessment%20Working%20Group%20PAWG%20%20Relat/Probabilistic%20Adequacy%20and%20Measures%20Report.pdf" TargetMode="External"/><Relationship Id="rId1" Type="http://schemas.openxmlformats.org/officeDocument/2006/relationships/hyperlink" Target="https://www.nerc.com/files/ivgtf1-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E3635433B68540BCB3E37934E77B37" ma:contentTypeVersion="4" ma:contentTypeDescription="Create a new document." ma:contentTypeScope="" ma:versionID="59794113b7984b49574db6486a4c8a11">
  <xsd:schema xmlns:xsd="http://www.w3.org/2001/XMLSchema" xmlns:xs="http://www.w3.org/2001/XMLSchema" xmlns:p="http://schemas.microsoft.com/office/2006/metadata/properties" xmlns:ns2="f75e2c4e-fc1a-4782-8746-33eb233672bd" targetNamespace="http://schemas.microsoft.com/office/2006/metadata/properties" ma:root="true" ma:fieldsID="d94a93d07131fa75cb7e6d1807efa48f" ns2:_="">
    <xsd:import namespace="f75e2c4e-fc1a-4782-8746-33eb233672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5e2c4e-fc1a-4782-8746-33eb233672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D6AB80-CBB6-4283-8805-BEC02AE771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8EBA48-3D2B-4153-AE2E-071D16BE3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5e2c4e-fc1a-4782-8746-33eb233672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5F03C-F162-4950-9EC6-A8DCB50F3DC0}">
  <ds:schemaRefs>
    <ds:schemaRef ds:uri="http://schemas.microsoft.com/sharepoint/v3/contenttype/forms"/>
  </ds:schemaRefs>
</ds:datastoreItem>
</file>

<file path=customXml/itemProps4.xml><?xml version="1.0" encoding="utf-8"?>
<ds:datastoreItem xmlns:ds="http://schemas.openxmlformats.org/officeDocument/2006/customXml" ds:itemID="{F9E8F52E-EED2-480B-BB32-B4A4E1B4F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16579</Words>
  <Characters>94505</Characters>
  <Application>Microsoft Office Word</Application>
  <DocSecurity>4</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Adrienne Thompson</dc:creator>
  <cp:lastModifiedBy>Pendergrass, Susan G.</cp:lastModifiedBy>
  <cp:revision>2</cp:revision>
  <dcterms:created xsi:type="dcterms:W3CDTF">2020-12-22T20:22:00Z</dcterms:created>
  <dcterms:modified xsi:type="dcterms:W3CDTF">2020-12-22T20:22:00Z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IL_MSG_ID1">
    <vt:lpwstr>gFAA5ajW4yTOEjsL6zncv/vUq4nqzECfftuAov87NItuRs4q2BI+Q3UlifafprfZyrIRh8nPlYSuNn8f
nV1ZBwSgLCX7DKMrFalyau1/QFqZ8kZnwA35We6DmiKMoxQYq0tWGAS3CzwxxUa7NdYFDGgqHrex
fl9WVh/kA/U2i7Ja0SnCMhziojS83G7nnsh2HqWGpxeXJUCfOjT8Fa/sqfDsPc2Hx7m45ICQnCkQ
x1ZfhxeKSflKPjGfc</vt:lpwstr>
  </property>
  <property fmtid="{D5CDD505-2E9C-101B-9397-08002B2CF9AE}" pid="4" name="MAIL_MSG_ID2">
    <vt:lpwstr>8GALomCxypzMxIRKFgRhxnTsDY9ws7YlHB6AD20nCe7Bxqe9QBRAd4ieSil
X1v7UHxZNyag7Thy8WoZJuZrq7OkjvAWfFNNaw==</vt:lpwstr>
  </property>
  <property fmtid="{D5CDD505-2E9C-101B-9397-08002B2CF9AE}" pid="5" name="RESPONSE_SENDER_NAME">
    <vt:lpwstr>sAAAUYtyAkeNWR7YdafUSQINIbGl3M4rblnsQo9Jy77hOP0=</vt:lpwstr>
  </property>
  <property fmtid="{D5CDD505-2E9C-101B-9397-08002B2CF9AE}" pid="6" name="EMAIL_OWNER_ADDRESS">
    <vt:lpwstr>ABAAJXrvhtoYpC5K7NimHInvV1uWRIR1SN3Y8bVTR6WBi6RmrHWvfKLi4NgH8egcXTLV</vt:lpwstr>
  </property>
  <property fmtid="{D5CDD505-2E9C-101B-9397-08002B2CF9AE}" pid="7" name="ContentTypeId">
    <vt:lpwstr>0x010100E7E3635433B68540BCB3E37934E77B37</vt:lpwstr>
  </property>
</Properties>
</file>